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72797">
      <w:pPr>
        <w:ind w:firstLine="0" w:firstLineChars="0"/>
        <w:jc w:val="center"/>
        <w:rPr>
          <w:rFonts w:hint="default" w:eastAsia="仿宋"/>
          <w:color w:val="000000"/>
          <w:sz w:val="44"/>
          <w:szCs w:val="44"/>
          <w:lang w:val="en-US" w:eastAsia="zh-CN"/>
        </w:rPr>
      </w:pPr>
      <w:r>
        <w:rPr>
          <w:rFonts w:hint="eastAsia"/>
          <w:color w:val="000000"/>
          <w:sz w:val="44"/>
          <w:szCs w:val="44"/>
          <w:lang w:val="en-US" w:eastAsia="zh-CN"/>
        </w:rPr>
        <w:t>中铁大桥局集团有限公司机械化施工分公司</w:t>
      </w:r>
    </w:p>
    <w:p w14:paraId="0B65E3B2">
      <w:pPr>
        <w:pStyle w:val="22"/>
        <w:spacing w:line="240" w:lineRule="auto"/>
        <w:ind w:left="5459" w:firstLine="1084" w:firstLineChars="450"/>
        <w:jc w:val="both"/>
        <w:rPr>
          <w:rFonts w:hint="default" w:ascii="仿宋" w:hAnsi="仿宋" w:eastAsia="仿宋" w:cs="仿宋"/>
          <w:color w:val="000000"/>
          <w:sz w:val="24"/>
          <w:szCs w:val="24"/>
          <w:lang w:val="en-US" w:eastAsia="zh-CN"/>
        </w:rPr>
      </w:pPr>
      <w:r>
        <w:rPr>
          <w:rFonts w:ascii="仿宋" w:hAnsi="仿宋" w:eastAsia="仿宋" w:cs="仿宋"/>
          <w:color w:val="000000"/>
          <w:sz w:val="24"/>
          <w:szCs w:val="24"/>
        </w:rPr>
        <mc:AlternateContent>
          <mc:Choice Requires="wps">
            <w:drawing>
              <wp:anchor distT="0" distB="0" distL="114300" distR="114300" simplePos="0" relativeHeight="251659264" behindDoc="0" locked="0" layoutInCell="1" allowOverlap="1">
                <wp:simplePos x="0" y="0"/>
                <wp:positionH relativeFrom="column">
                  <wp:posOffset>30480</wp:posOffset>
                </wp:positionH>
                <wp:positionV relativeFrom="paragraph">
                  <wp:posOffset>450215</wp:posOffset>
                </wp:positionV>
                <wp:extent cx="5935345" cy="6985"/>
                <wp:effectExtent l="0" t="13970" r="8255" b="17145"/>
                <wp:wrapNone/>
                <wp:docPr id="1" name="直线 4"/>
                <wp:cNvGraphicFramePr/>
                <a:graphic xmlns:a="http://schemas.openxmlformats.org/drawingml/2006/main">
                  <a:graphicData uri="http://schemas.microsoft.com/office/word/2010/wordprocessingShape">
                    <wps:wsp>
                      <wps:cNvCnPr/>
                      <wps:spPr>
                        <a:xfrm flipV="1">
                          <a:off x="0" y="0"/>
                          <a:ext cx="5935345" cy="6985"/>
                        </a:xfrm>
                        <a:prstGeom prst="line">
                          <a:avLst/>
                        </a:prstGeom>
                        <a:ln w="28575" cap="flat" cmpd="sng">
                          <a:solidFill>
                            <a:srgbClr val="000000"/>
                          </a:solidFill>
                          <a:prstDash val="solid"/>
                          <a:headEnd type="none" w="med" len="med"/>
                          <a:tailEnd type="none" w="med" len="med"/>
                        </a:ln>
                        <a:effectLst/>
                      </wps:spPr>
                      <wps:bodyPr upright="1"/>
                    </wps:wsp>
                  </a:graphicData>
                </a:graphic>
              </wp:anchor>
            </w:drawing>
          </mc:Choice>
          <mc:Fallback>
            <w:pict>
              <v:line id="直线 4" o:spid="_x0000_s1026" o:spt="20" style="position:absolute;left:0pt;flip:y;margin-left:2.4pt;margin-top:35.45pt;height:0.55pt;width:467.35pt;z-index:251659264;mso-width-relative:page;mso-height-relative:page;" filled="f" stroked="t" coordsize="21600,21600" o:gfxdata="UEsDBAoAAAAAAIdO4kAAAAAAAAAAAAAAAAAEAAAAZHJzL1BLAwQUAAAACACHTuJAjeDc3tYAAAAH&#10;AQAADwAAAGRycy9kb3ducmV2LnhtbE3OwU7DMAwG4DsS7xAZiQtiyQZsa2m6AxKIA5cVHsBtvbai&#10;cUqTrdueHnNiR/u3fn/Z5uh6daAxdJ4tzGcGFHHl644bC1+fr/drUCEi19h7JgsnCrDJr68yTGs/&#10;8ZYORWyUlHBI0UIb45BqHaqWHIaZH4gl2/nRYZRxbHQ94iTlrtcLY5baYcfyocWBXlqqvou9s7At&#10;1/jxbn4Kf+LleToX4e1uqKy9vZmbZ1CRjvH/GP74QodcTKXfcx1Ub+FR4NHCyiSgJE4ekidQpSwW&#10;BnSe6Ut//gtQSwMEFAAAAAgAh07iQA6kjHD2AQAA9wMAAA4AAABkcnMvZTJvRG9jLnhtbK1TS27b&#10;MBDdF+gdCO5r2U6cOoLlLOKmm6I10DZ7mh+JAH/g0JZ9ll6jq256nFyjQ0o1knTjRbUQhjOPj/Me&#10;h6u7ozXkICNo7xo6m0wpkY57oV3b0O/fHt4tKYHEnGDGO9nQkwR6t377ZtWHWs59542QkSCJg7oP&#10;De1SCnVVAe+kZTDxQTosKh8tS7iMbSUi65Hdmmo+nd5UvY8iRM8lAGY3Q5GOjPESQq+U5nLj+d5K&#10;lwbWKA1LKAk6HYCuS7dKSZ6+KAUyEdNQVJrKHw/BeJf/1XrF6jay0Gk+tsAuaeGVJsu0w0PPVBuW&#10;GNlH/Q+V1Tx68CpNuLfVIKQ4gipm01fefO1YkEULWg3hbDr8P1r++bCNRAucBEocs3jhTz9+Pv36&#10;Ta6zN32AGiH3bhvHFYRtzEKPKlqijA6PeWvOoBhyLM6ezs7KYyIck4vbq8XV9YISjrWb2+Uik1cD&#10;S94bIqSP0luSg4Ya7bJuVrPDJ0gD9C8kp40jfUPny8X7TMlwChXePoY2oBJwbdkM3mjxoI3JWyC2&#10;u3sTyYHlSSjf2MMLWD5lw6AbcKWUYazuJBMfnCDpFNAjh0+D5h6sFJQYiS8pRwWZmDaXIFG+cZla&#10;ljkdhWbHB49ztPPihPezD1G3HRozKz3nCs5DcXCc3Txwz9cYP3+v6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N4Nze1gAAAAcBAAAPAAAAAAAAAAEAIAAAACIAAABkcnMvZG93bnJldi54bWxQSwEC&#10;FAAUAAAACACHTuJADqSMcPYBAAD3AwAADgAAAAAAAAABACAAAAAlAQAAZHJzL2Uyb0RvYy54bWxQ&#10;SwUGAAAAAAYABgBZAQAAjQUAAAAA&#10;">
                <v:fill on="f" focussize="0,0"/>
                <v:stroke weight="2.25pt" color="#000000" joinstyle="round"/>
                <v:imagedata o:title=""/>
                <o:lock v:ext="edit" aspectratio="f"/>
              </v:line>
            </w:pict>
          </mc:Fallback>
        </mc:AlternateContent>
      </w:r>
      <w:r>
        <w:rPr>
          <w:rFonts w:hint="eastAsia" w:ascii="仿宋" w:hAnsi="仿宋" w:eastAsia="仿宋" w:cs="仿宋"/>
          <w:color w:val="000000"/>
          <w:sz w:val="24"/>
          <w:szCs w:val="24"/>
        </w:rPr>
        <w:t>编号：</w:t>
      </w:r>
      <w:r>
        <w:rPr>
          <w:rFonts w:hint="eastAsia" w:ascii="仿宋" w:hAnsi="仿宋" w:eastAsia="仿宋" w:cs="仿宋"/>
          <w:color w:val="000000"/>
          <w:sz w:val="24"/>
          <w:szCs w:val="24"/>
          <w:lang w:val="en-US" w:eastAsia="zh-CN"/>
        </w:rPr>
        <w:t>TJB-FA-2026-001</w:t>
      </w:r>
    </w:p>
    <w:p w14:paraId="32DC34E1">
      <w:pPr>
        <w:pStyle w:val="22"/>
        <w:rPr>
          <w:rFonts w:ascii="仿宋" w:hAnsi="仿宋" w:eastAsia="仿宋" w:cs="仿宋"/>
          <w:color w:val="000000"/>
        </w:rPr>
      </w:pPr>
    </w:p>
    <w:p w14:paraId="65ED4717">
      <w:pPr>
        <w:rPr>
          <w:color w:val="000000"/>
        </w:rPr>
      </w:pPr>
    </w:p>
    <w:p w14:paraId="13370652">
      <w:pPr>
        <w:spacing w:line="720" w:lineRule="auto"/>
        <w:ind w:firstLine="0" w:firstLineChars="0"/>
        <w:jc w:val="center"/>
        <w:rPr>
          <w:rFonts w:hint="eastAsia"/>
          <w:b/>
          <w:color w:val="auto"/>
          <w:sz w:val="44"/>
          <w:szCs w:val="44"/>
          <w:lang w:val="en-US" w:eastAsia="zh-CN"/>
        </w:rPr>
      </w:pPr>
      <w:bookmarkStart w:id="0" w:name="_Toc15357"/>
      <w:bookmarkStart w:id="1" w:name="_Toc7427"/>
      <w:bookmarkStart w:id="2" w:name="_Toc15194"/>
      <w:r>
        <w:rPr>
          <w:rFonts w:hint="eastAsia"/>
          <w:b/>
          <w:color w:val="auto"/>
          <w:sz w:val="44"/>
          <w:szCs w:val="44"/>
          <w:lang w:val="en-US" w:eastAsia="zh-CN"/>
        </w:rPr>
        <w:t>北江特大桥</w:t>
      </w:r>
    </w:p>
    <w:p w14:paraId="10ACC5E9">
      <w:pPr>
        <w:spacing w:line="720" w:lineRule="auto"/>
        <w:ind w:firstLine="0" w:firstLineChars="0"/>
        <w:jc w:val="center"/>
        <w:rPr>
          <w:b/>
          <w:color w:val="000000"/>
          <w:sz w:val="44"/>
          <w:szCs w:val="44"/>
        </w:rPr>
      </w:pPr>
      <w:r>
        <w:rPr>
          <w:rFonts w:hint="eastAsia"/>
          <w:b/>
          <w:color w:val="000000"/>
          <w:sz w:val="44"/>
          <w:szCs w:val="44"/>
          <w:lang w:val="en-US" w:eastAsia="zh-CN"/>
        </w:rPr>
        <w:t>4#</w:t>
      </w:r>
      <w:r>
        <w:rPr>
          <w:rFonts w:hint="eastAsia"/>
          <w:b/>
          <w:color w:val="000000"/>
          <w:sz w:val="44"/>
          <w:szCs w:val="44"/>
        </w:rPr>
        <w:t>墩</w:t>
      </w:r>
      <w:r>
        <w:rPr>
          <w:rFonts w:hint="eastAsia"/>
          <w:b/>
          <w:color w:val="000000"/>
          <w:sz w:val="44"/>
          <w:szCs w:val="44"/>
          <w:lang w:eastAsia="zh-CN"/>
        </w:rPr>
        <w:t>XGT600-25S</w:t>
      </w:r>
      <w:r>
        <w:rPr>
          <w:rFonts w:hint="eastAsia"/>
          <w:b/>
          <w:color w:val="000000"/>
          <w:sz w:val="44"/>
          <w:szCs w:val="44"/>
        </w:rPr>
        <w:t>塔式起重机</w:t>
      </w:r>
      <w:bookmarkEnd w:id="0"/>
      <w:bookmarkEnd w:id="1"/>
      <w:bookmarkEnd w:id="2"/>
      <w:bookmarkStart w:id="3" w:name="_Toc16677"/>
      <w:bookmarkStart w:id="4" w:name="_Toc31499"/>
      <w:bookmarkStart w:id="5" w:name="_Toc5841"/>
      <w:r>
        <w:rPr>
          <w:rFonts w:hint="eastAsia"/>
          <w:b/>
          <w:color w:val="000000"/>
          <w:sz w:val="44"/>
          <w:szCs w:val="44"/>
        </w:rPr>
        <w:t>拆除</w:t>
      </w:r>
      <w:r>
        <w:rPr>
          <w:rFonts w:hint="eastAsia"/>
          <w:b/>
          <w:bCs w:val="0"/>
          <w:color w:val="000000"/>
          <w:sz w:val="44"/>
          <w:szCs w:val="44"/>
        </w:rPr>
        <w:t>作业指导书</w:t>
      </w:r>
      <w:bookmarkEnd w:id="3"/>
      <w:bookmarkEnd w:id="4"/>
      <w:bookmarkEnd w:id="5"/>
    </w:p>
    <w:p w14:paraId="1E973FED">
      <w:pPr>
        <w:pStyle w:val="26"/>
        <w:rPr>
          <w:rFonts w:ascii="仿宋" w:hAnsi="仿宋" w:eastAsia="仿宋" w:cs="仿宋"/>
          <w:color w:val="000000"/>
        </w:rPr>
      </w:pPr>
    </w:p>
    <w:p w14:paraId="56202B4F">
      <w:pPr>
        <w:pStyle w:val="26"/>
        <w:jc w:val="both"/>
        <w:rPr>
          <w:rFonts w:ascii="仿宋" w:hAnsi="仿宋" w:eastAsia="仿宋" w:cs="仿宋"/>
          <w:color w:val="000000"/>
        </w:rPr>
      </w:pPr>
    </w:p>
    <w:p w14:paraId="2A24D189">
      <w:pPr>
        <w:pStyle w:val="26"/>
        <w:jc w:val="both"/>
        <w:rPr>
          <w:rFonts w:ascii="仿宋" w:hAnsi="仿宋" w:eastAsia="仿宋" w:cs="仿宋"/>
          <w:color w:val="000000"/>
        </w:rPr>
      </w:pPr>
    </w:p>
    <w:p w14:paraId="79E71716">
      <w:pPr>
        <w:pStyle w:val="26"/>
        <w:rPr>
          <w:rFonts w:ascii="仿宋" w:hAnsi="仿宋" w:eastAsia="仿宋" w:cs="仿宋"/>
          <w:color w:val="000000"/>
        </w:rPr>
      </w:pPr>
    </w:p>
    <w:p w14:paraId="5EF2B6DB">
      <w:pPr>
        <w:pStyle w:val="95"/>
        <w:ind w:left="840" w:leftChars="0" w:firstLine="420" w:firstLineChars="0"/>
        <w:rPr>
          <w:rFonts w:hint="default" w:eastAsia="仿宋" w:cs="仿宋"/>
          <w:color w:val="000000"/>
          <w:u w:val="single"/>
          <w:lang w:val="en-US" w:eastAsia="zh-CN"/>
        </w:rPr>
      </w:pPr>
      <w:r>
        <w:rPr>
          <w:rFonts w:hint="eastAsia" w:cs="仿宋"/>
          <w:color w:val="000000"/>
        </w:rPr>
        <w:t>单 位：</w:t>
      </w:r>
      <w:r>
        <w:rPr>
          <w:rFonts w:hint="eastAsia" w:cs="仿宋"/>
          <w:color w:val="000000"/>
          <w:u w:val="single"/>
          <w:lang w:val="en-US" w:eastAsia="zh-CN"/>
        </w:rPr>
        <w:t>中铁大桥局集团有限公司机械化施工分公司</w:t>
      </w:r>
    </w:p>
    <w:p w14:paraId="5E347B33">
      <w:pPr>
        <w:pStyle w:val="95"/>
        <w:ind w:left="840" w:leftChars="0" w:firstLine="420" w:firstLineChars="0"/>
        <w:rPr>
          <w:rFonts w:hint="default" w:eastAsia="仿宋" w:cs="仿宋"/>
          <w:color w:val="000000"/>
          <w:u w:val="single"/>
          <w:lang w:val="en-US" w:eastAsia="zh-CN"/>
        </w:rPr>
      </w:pPr>
      <w:r>
        <w:rPr>
          <w:rFonts w:hint="eastAsia" w:cs="仿宋"/>
          <w:color w:val="000000"/>
        </w:rPr>
        <w:t>编 制：</w:t>
      </w:r>
      <w:r>
        <w:rPr>
          <w:rFonts w:hint="eastAsia" w:cs="仿宋"/>
          <w:color w:val="000000"/>
          <w:u w:val="single"/>
          <w:lang w:val="en-US" w:eastAsia="zh-CN"/>
        </w:rPr>
        <w:t xml:space="preserve">                                      </w:t>
      </w:r>
    </w:p>
    <w:p w14:paraId="2AEE10C2">
      <w:pPr>
        <w:pStyle w:val="95"/>
        <w:ind w:left="840" w:leftChars="0" w:firstLine="420" w:firstLineChars="0"/>
        <w:rPr>
          <w:rFonts w:hint="eastAsia" w:cs="仿宋"/>
          <w:color w:val="000000"/>
        </w:rPr>
      </w:pPr>
      <w:r>
        <w:rPr>
          <w:rFonts w:hint="eastAsia" w:cs="仿宋"/>
          <w:color w:val="000000"/>
        </w:rPr>
        <w:t>审 核：</w:t>
      </w:r>
      <w:r>
        <w:rPr>
          <w:rFonts w:hint="eastAsia" w:cs="仿宋"/>
          <w:color w:val="000000"/>
          <w:u w:val="single"/>
          <w:lang w:val="en-US" w:eastAsia="zh-CN"/>
        </w:rPr>
        <w:t xml:space="preserve">                                      </w:t>
      </w:r>
    </w:p>
    <w:p w14:paraId="76EFDF98">
      <w:pPr>
        <w:pStyle w:val="95"/>
        <w:ind w:left="840" w:leftChars="0" w:firstLine="420" w:firstLineChars="0"/>
        <w:rPr>
          <w:rFonts w:cs="仿宋"/>
          <w:color w:val="000000"/>
        </w:rPr>
      </w:pPr>
      <w:r>
        <w:rPr>
          <w:rFonts w:hint="eastAsia" w:cs="仿宋"/>
          <w:color w:val="000000"/>
        </w:rPr>
        <w:t>批 准：</w:t>
      </w:r>
      <w:r>
        <w:rPr>
          <w:rFonts w:hint="eastAsia" w:cs="仿宋"/>
          <w:color w:val="000000"/>
          <w:u w:val="single"/>
          <w:lang w:val="en-US" w:eastAsia="zh-CN"/>
        </w:rPr>
        <w:t xml:space="preserve">                                      </w:t>
      </w:r>
    </w:p>
    <w:p w14:paraId="3EF8C5FB">
      <w:pPr>
        <w:ind w:firstLine="643"/>
        <w:rPr>
          <w:b/>
          <w:bCs w:val="0"/>
          <w:color w:val="000000"/>
          <w:sz w:val="32"/>
          <w:szCs w:val="32"/>
        </w:rPr>
      </w:pPr>
    </w:p>
    <w:p w14:paraId="3D801717">
      <w:pPr>
        <w:ind w:firstLine="0" w:firstLineChars="0"/>
        <w:rPr>
          <w:b/>
          <w:bCs w:val="0"/>
          <w:color w:val="000000"/>
          <w:sz w:val="32"/>
          <w:szCs w:val="32"/>
        </w:rPr>
      </w:pPr>
    </w:p>
    <w:p w14:paraId="356D18F6">
      <w:pPr>
        <w:ind w:firstLine="643"/>
        <w:rPr>
          <w:b/>
          <w:bCs w:val="0"/>
          <w:color w:val="000000"/>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418" w:header="851" w:footer="964" w:gutter="0"/>
          <w:pgNumType w:start="1"/>
          <w:cols w:space="720" w:num="1"/>
          <w:docGrid w:type="lines" w:linePitch="312" w:charSpace="0"/>
        </w:sectPr>
      </w:pPr>
      <w:r>
        <w:rPr>
          <w:rFonts w:hint="eastAsia"/>
          <w:b/>
          <w:bCs w:val="0"/>
          <w:color w:val="000000"/>
          <w:sz w:val="32"/>
          <w:szCs w:val="32"/>
        </w:rPr>
        <w:t>2026年 月  日发布            2026年 月  日实施</w:t>
      </w:r>
    </w:p>
    <w:p w14:paraId="274643D6">
      <w:pPr>
        <w:spacing w:line="240" w:lineRule="auto"/>
        <w:ind w:firstLine="0" w:firstLineChars="0"/>
        <w:jc w:val="center"/>
        <w:rPr>
          <w:color w:val="000000"/>
          <w:sz w:val="30"/>
          <w:szCs w:val="30"/>
        </w:rPr>
      </w:pPr>
      <w:r>
        <w:rPr>
          <w:rFonts w:hint="eastAsia"/>
          <w:color w:val="000000"/>
          <w:sz w:val="30"/>
          <w:szCs w:val="30"/>
        </w:rPr>
        <w:t>目录</w:t>
      </w:r>
    </w:p>
    <w:p w14:paraId="2A7088E9">
      <w:pPr>
        <w:pStyle w:val="21"/>
        <w:tabs>
          <w:tab w:val="right" w:leader="dot" w:pos="9354"/>
        </w:tabs>
      </w:pPr>
      <w:r>
        <w:rPr>
          <w:rFonts w:hint="eastAsia"/>
          <w:color w:val="000000"/>
        </w:rPr>
        <w:fldChar w:fldCharType="begin"/>
      </w:r>
      <w:r>
        <w:rPr>
          <w:rFonts w:hint="eastAsia"/>
          <w:color w:val="000000"/>
        </w:rPr>
        <w:instrText xml:space="preserve">TOC \o "1-2" \h \u </w:instrText>
      </w:r>
      <w:r>
        <w:rPr>
          <w:rFonts w:hint="eastAsia"/>
          <w:color w:val="000000"/>
        </w:rPr>
        <w:fldChar w:fldCharType="separate"/>
      </w:r>
      <w:r>
        <w:rPr>
          <w:rFonts w:hint="eastAsia"/>
          <w:color w:val="000000"/>
        </w:rPr>
        <w:fldChar w:fldCharType="begin"/>
      </w:r>
      <w:r>
        <w:rPr>
          <w:rFonts w:hint="eastAsia"/>
        </w:rPr>
        <w:instrText xml:space="preserve"> HYPERLINK \l _Toc32365 </w:instrText>
      </w:r>
      <w:r>
        <w:rPr>
          <w:rFonts w:hint="eastAsia"/>
        </w:rPr>
        <w:fldChar w:fldCharType="separate"/>
      </w:r>
      <w:r>
        <w:rPr>
          <w:rFonts w:hint="eastAsia" w:ascii="仿宋" w:hAnsi="仿宋" w:eastAsia="仿宋"/>
        </w:rPr>
        <w:t>1. 适用范围</w:t>
      </w:r>
      <w:r>
        <w:tab/>
      </w:r>
      <w:r>
        <w:fldChar w:fldCharType="begin"/>
      </w:r>
      <w:r>
        <w:instrText xml:space="preserve"> PAGEREF _Toc32365 \h </w:instrText>
      </w:r>
      <w:r>
        <w:fldChar w:fldCharType="separate"/>
      </w:r>
      <w:r>
        <w:t>1</w:t>
      </w:r>
      <w:r>
        <w:fldChar w:fldCharType="end"/>
      </w:r>
      <w:r>
        <w:rPr>
          <w:rFonts w:hint="eastAsia"/>
          <w:color w:val="000000"/>
        </w:rPr>
        <w:fldChar w:fldCharType="end"/>
      </w:r>
    </w:p>
    <w:p w14:paraId="112E05D7">
      <w:pPr>
        <w:pStyle w:val="21"/>
        <w:tabs>
          <w:tab w:val="right" w:leader="dot" w:pos="9354"/>
        </w:tabs>
      </w:pPr>
      <w:r>
        <w:rPr>
          <w:rFonts w:hint="eastAsia"/>
          <w:color w:val="000000"/>
        </w:rPr>
        <w:fldChar w:fldCharType="begin"/>
      </w:r>
      <w:r>
        <w:rPr>
          <w:rFonts w:hint="eastAsia"/>
        </w:rPr>
        <w:instrText xml:space="preserve"> HYPERLINK \l _Toc5799 </w:instrText>
      </w:r>
      <w:r>
        <w:rPr>
          <w:rFonts w:hint="eastAsia"/>
        </w:rPr>
        <w:fldChar w:fldCharType="separate"/>
      </w:r>
      <w:r>
        <w:rPr>
          <w:rFonts w:hint="eastAsia" w:ascii="仿宋" w:hAnsi="仿宋" w:eastAsia="仿宋"/>
        </w:rPr>
        <w:t>2. 作业准备</w:t>
      </w:r>
      <w:r>
        <w:tab/>
      </w:r>
      <w:r>
        <w:fldChar w:fldCharType="begin"/>
      </w:r>
      <w:r>
        <w:instrText xml:space="preserve"> PAGEREF _Toc5799 \h </w:instrText>
      </w:r>
      <w:r>
        <w:fldChar w:fldCharType="separate"/>
      </w:r>
      <w:r>
        <w:t>1</w:t>
      </w:r>
      <w:r>
        <w:fldChar w:fldCharType="end"/>
      </w:r>
      <w:r>
        <w:rPr>
          <w:rFonts w:hint="eastAsia"/>
          <w:color w:val="000000"/>
        </w:rPr>
        <w:fldChar w:fldCharType="end"/>
      </w:r>
    </w:p>
    <w:p w14:paraId="0962E322">
      <w:pPr>
        <w:pStyle w:val="23"/>
        <w:tabs>
          <w:tab w:val="right" w:leader="dot" w:pos="9354"/>
        </w:tabs>
      </w:pPr>
      <w:r>
        <w:rPr>
          <w:rFonts w:hint="eastAsia"/>
          <w:color w:val="000000"/>
        </w:rPr>
        <w:fldChar w:fldCharType="begin"/>
      </w:r>
      <w:r>
        <w:rPr>
          <w:rFonts w:hint="eastAsia"/>
        </w:rPr>
        <w:instrText xml:space="preserve"> HYPERLINK \l _Toc5064 </w:instrText>
      </w:r>
      <w:r>
        <w:rPr>
          <w:rFonts w:hint="eastAsia"/>
        </w:rPr>
        <w:fldChar w:fldCharType="separate"/>
      </w:r>
      <w:r>
        <w:rPr>
          <w:rFonts w:hint="eastAsia"/>
        </w:rPr>
        <w:t>2.1 内业技术准备</w:t>
      </w:r>
      <w:r>
        <w:tab/>
      </w:r>
      <w:r>
        <w:fldChar w:fldCharType="begin"/>
      </w:r>
      <w:r>
        <w:instrText xml:space="preserve"> PAGEREF _Toc5064 \h </w:instrText>
      </w:r>
      <w:r>
        <w:fldChar w:fldCharType="separate"/>
      </w:r>
      <w:r>
        <w:t>1</w:t>
      </w:r>
      <w:r>
        <w:fldChar w:fldCharType="end"/>
      </w:r>
      <w:r>
        <w:rPr>
          <w:rFonts w:hint="eastAsia"/>
          <w:color w:val="000000"/>
        </w:rPr>
        <w:fldChar w:fldCharType="end"/>
      </w:r>
    </w:p>
    <w:p w14:paraId="144234D1">
      <w:pPr>
        <w:pStyle w:val="23"/>
        <w:tabs>
          <w:tab w:val="right" w:leader="dot" w:pos="9354"/>
        </w:tabs>
      </w:pPr>
      <w:r>
        <w:rPr>
          <w:rFonts w:hint="eastAsia"/>
          <w:color w:val="000000"/>
        </w:rPr>
        <w:fldChar w:fldCharType="begin"/>
      </w:r>
      <w:r>
        <w:rPr>
          <w:rFonts w:hint="eastAsia"/>
        </w:rPr>
        <w:instrText xml:space="preserve"> HYPERLINK \l _Toc31529 </w:instrText>
      </w:r>
      <w:r>
        <w:rPr>
          <w:rFonts w:hint="eastAsia"/>
        </w:rPr>
        <w:fldChar w:fldCharType="separate"/>
      </w:r>
      <w:r>
        <w:rPr>
          <w:rFonts w:hint="eastAsia"/>
        </w:rPr>
        <w:t>2.2 外业准备</w:t>
      </w:r>
      <w:r>
        <w:tab/>
      </w:r>
      <w:r>
        <w:fldChar w:fldCharType="begin"/>
      </w:r>
      <w:r>
        <w:instrText xml:space="preserve"> PAGEREF _Toc31529 \h </w:instrText>
      </w:r>
      <w:r>
        <w:fldChar w:fldCharType="separate"/>
      </w:r>
      <w:r>
        <w:t>1</w:t>
      </w:r>
      <w:r>
        <w:fldChar w:fldCharType="end"/>
      </w:r>
      <w:r>
        <w:rPr>
          <w:rFonts w:hint="eastAsia"/>
          <w:color w:val="000000"/>
        </w:rPr>
        <w:fldChar w:fldCharType="end"/>
      </w:r>
    </w:p>
    <w:p w14:paraId="45F77D41">
      <w:pPr>
        <w:pStyle w:val="21"/>
        <w:tabs>
          <w:tab w:val="right" w:leader="dot" w:pos="9354"/>
        </w:tabs>
      </w:pPr>
      <w:r>
        <w:rPr>
          <w:rFonts w:hint="eastAsia"/>
          <w:color w:val="000000"/>
        </w:rPr>
        <w:fldChar w:fldCharType="begin"/>
      </w:r>
      <w:r>
        <w:rPr>
          <w:rFonts w:hint="eastAsia"/>
        </w:rPr>
        <w:instrText xml:space="preserve"> HYPERLINK \l _Toc22567 </w:instrText>
      </w:r>
      <w:r>
        <w:rPr>
          <w:rFonts w:hint="eastAsia"/>
        </w:rPr>
        <w:fldChar w:fldCharType="separate"/>
      </w:r>
      <w:r>
        <w:rPr>
          <w:rFonts w:hint="eastAsia" w:ascii="仿宋" w:hAnsi="仿宋" w:eastAsia="仿宋"/>
        </w:rPr>
        <w:t>3. 技术要求</w:t>
      </w:r>
      <w:r>
        <w:tab/>
      </w:r>
      <w:r>
        <w:fldChar w:fldCharType="begin"/>
      </w:r>
      <w:r>
        <w:instrText xml:space="preserve"> PAGEREF _Toc22567 \h </w:instrText>
      </w:r>
      <w:r>
        <w:fldChar w:fldCharType="separate"/>
      </w:r>
      <w:r>
        <w:t>1</w:t>
      </w:r>
      <w:r>
        <w:fldChar w:fldCharType="end"/>
      </w:r>
      <w:r>
        <w:rPr>
          <w:rFonts w:hint="eastAsia"/>
          <w:color w:val="000000"/>
        </w:rPr>
        <w:fldChar w:fldCharType="end"/>
      </w:r>
    </w:p>
    <w:p w14:paraId="6F5973FC">
      <w:pPr>
        <w:pStyle w:val="21"/>
        <w:tabs>
          <w:tab w:val="right" w:leader="dot" w:pos="9354"/>
        </w:tabs>
      </w:pPr>
      <w:r>
        <w:rPr>
          <w:rFonts w:hint="eastAsia"/>
          <w:color w:val="000000"/>
        </w:rPr>
        <w:fldChar w:fldCharType="begin"/>
      </w:r>
      <w:r>
        <w:rPr>
          <w:rFonts w:hint="eastAsia"/>
        </w:rPr>
        <w:instrText xml:space="preserve"> HYPERLINK \l _Toc14716 </w:instrText>
      </w:r>
      <w:r>
        <w:rPr>
          <w:rFonts w:hint="eastAsia"/>
        </w:rPr>
        <w:fldChar w:fldCharType="separate"/>
      </w:r>
      <w:r>
        <w:rPr>
          <w:rFonts w:hint="eastAsia" w:ascii="仿宋" w:hAnsi="仿宋" w:eastAsia="仿宋"/>
        </w:rPr>
        <w:t>4. 施工程序与工艺流程</w:t>
      </w:r>
      <w:r>
        <w:tab/>
      </w:r>
      <w:r>
        <w:fldChar w:fldCharType="begin"/>
      </w:r>
      <w:r>
        <w:instrText xml:space="preserve"> PAGEREF _Toc14716 \h </w:instrText>
      </w:r>
      <w:r>
        <w:fldChar w:fldCharType="separate"/>
      </w:r>
      <w:r>
        <w:t>1</w:t>
      </w:r>
      <w:r>
        <w:fldChar w:fldCharType="end"/>
      </w:r>
      <w:r>
        <w:rPr>
          <w:rFonts w:hint="eastAsia"/>
          <w:color w:val="000000"/>
        </w:rPr>
        <w:fldChar w:fldCharType="end"/>
      </w:r>
    </w:p>
    <w:p w14:paraId="44167F5C">
      <w:pPr>
        <w:pStyle w:val="21"/>
        <w:tabs>
          <w:tab w:val="right" w:leader="dot" w:pos="9354"/>
        </w:tabs>
      </w:pPr>
      <w:r>
        <w:rPr>
          <w:rFonts w:hint="eastAsia"/>
          <w:color w:val="000000"/>
        </w:rPr>
        <w:fldChar w:fldCharType="begin"/>
      </w:r>
      <w:r>
        <w:rPr>
          <w:rFonts w:hint="eastAsia"/>
        </w:rPr>
        <w:instrText xml:space="preserve"> HYPERLINK \l _Toc22401 </w:instrText>
      </w:r>
      <w:r>
        <w:rPr>
          <w:rFonts w:hint="eastAsia"/>
        </w:rPr>
        <w:fldChar w:fldCharType="separate"/>
      </w:r>
      <w:r>
        <w:rPr>
          <w:rFonts w:hint="eastAsia" w:ascii="仿宋" w:hAnsi="仿宋" w:eastAsia="仿宋"/>
        </w:rPr>
        <w:t>5. 施工要求</w:t>
      </w:r>
      <w:r>
        <w:tab/>
      </w:r>
      <w:r>
        <w:fldChar w:fldCharType="begin"/>
      </w:r>
      <w:r>
        <w:instrText xml:space="preserve"> PAGEREF _Toc22401 \h </w:instrText>
      </w:r>
      <w:r>
        <w:fldChar w:fldCharType="separate"/>
      </w:r>
      <w:r>
        <w:t>3</w:t>
      </w:r>
      <w:r>
        <w:fldChar w:fldCharType="end"/>
      </w:r>
      <w:r>
        <w:rPr>
          <w:rFonts w:hint="eastAsia"/>
          <w:color w:val="000000"/>
        </w:rPr>
        <w:fldChar w:fldCharType="end"/>
      </w:r>
    </w:p>
    <w:p w14:paraId="7D8B2844">
      <w:pPr>
        <w:pStyle w:val="23"/>
        <w:tabs>
          <w:tab w:val="right" w:leader="dot" w:pos="9354"/>
        </w:tabs>
      </w:pPr>
      <w:r>
        <w:rPr>
          <w:rFonts w:hint="eastAsia"/>
          <w:color w:val="000000"/>
        </w:rPr>
        <w:fldChar w:fldCharType="begin"/>
      </w:r>
      <w:r>
        <w:rPr>
          <w:rFonts w:hint="eastAsia"/>
        </w:rPr>
        <w:instrText xml:space="preserve"> HYPERLINK \l _Toc30353 </w:instrText>
      </w:r>
      <w:r>
        <w:rPr>
          <w:rFonts w:hint="eastAsia"/>
        </w:rPr>
        <w:fldChar w:fldCharType="separate"/>
      </w:r>
      <w:r>
        <w:rPr>
          <w:rFonts w:hint="eastAsia"/>
        </w:rPr>
        <w:t>5.1 主要设备选型</w:t>
      </w:r>
      <w:r>
        <w:tab/>
      </w:r>
      <w:r>
        <w:fldChar w:fldCharType="begin"/>
      </w:r>
      <w:r>
        <w:instrText xml:space="preserve"> PAGEREF _Toc30353 \h </w:instrText>
      </w:r>
      <w:r>
        <w:fldChar w:fldCharType="separate"/>
      </w:r>
      <w:r>
        <w:t>3</w:t>
      </w:r>
      <w:r>
        <w:fldChar w:fldCharType="end"/>
      </w:r>
      <w:r>
        <w:rPr>
          <w:rFonts w:hint="eastAsia"/>
          <w:color w:val="000000"/>
        </w:rPr>
        <w:fldChar w:fldCharType="end"/>
      </w:r>
    </w:p>
    <w:p w14:paraId="69EF558B">
      <w:pPr>
        <w:pStyle w:val="23"/>
        <w:tabs>
          <w:tab w:val="right" w:leader="dot" w:pos="9354"/>
        </w:tabs>
      </w:pPr>
      <w:r>
        <w:rPr>
          <w:rFonts w:hint="eastAsia"/>
          <w:color w:val="000000"/>
        </w:rPr>
        <w:fldChar w:fldCharType="begin"/>
      </w:r>
      <w:r>
        <w:rPr>
          <w:rFonts w:hint="eastAsia"/>
        </w:rPr>
        <w:instrText xml:space="preserve"> HYPERLINK \l _Toc12407 </w:instrText>
      </w:r>
      <w:r>
        <w:rPr>
          <w:rFonts w:hint="eastAsia"/>
        </w:rPr>
        <w:fldChar w:fldCharType="separate"/>
      </w:r>
      <w:r>
        <w:rPr>
          <w:rFonts w:hint="eastAsia"/>
        </w:rPr>
        <w:t>5.2 .塔机拆除具体步骤</w:t>
      </w:r>
      <w:r>
        <w:tab/>
      </w:r>
      <w:r>
        <w:fldChar w:fldCharType="begin"/>
      </w:r>
      <w:r>
        <w:instrText xml:space="preserve"> PAGEREF _Toc12407 \h </w:instrText>
      </w:r>
      <w:r>
        <w:fldChar w:fldCharType="separate"/>
      </w:r>
      <w:r>
        <w:t>11</w:t>
      </w:r>
      <w:r>
        <w:fldChar w:fldCharType="end"/>
      </w:r>
      <w:r>
        <w:rPr>
          <w:rFonts w:hint="eastAsia"/>
          <w:color w:val="000000"/>
        </w:rPr>
        <w:fldChar w:fldCharType="end"/>
      </w:r>
    </w:p>
    <w:p w14:paraId="0437F1A1">
      <w:pPr>
        <w:pStyle w:val="21"/>
        <w:tabs>
          <w:tab w:val="right" w:leader="dot" w:pos="9354"/>
        </w:tabs>
      </w:pPr>
      <w:r>
        <w:rPr>
          <w:rFonts w:hint="eastAsia"/>
          <w:color w:val="000000"/>
        </w:rPr>
        <w:fldChar w:fldCharType="begin"/>
      </w:r>
      <w:r>
        <w:rPr>
          <w:rFonts w:hint="eastAsia"/>
        </w:rPr>
        <w:instrText xml:space="preserve"> HYPERLINK \l _Toc30258 </w:instrText>
      </w:r>
      <w:r>
        <w:rPr>
          <w:rFonts w:hint="eastAsia"/>
        </w:rPr>
        <w:fldChar w:fldCharType="separate"/>
      </w:r>
      <w:r>
        <w:rPr>
          <w:rFonts w:hint="eastAsia" w:ascii="仿宋" w:hAnsi="仿宋" w:eastAsia="仿宋"/>
        </w:rPr>
        <w:t>6. 劳动组织</w:t>
      </w:r>
      <w:r>
        <w:tab/>
      </w:r>
      <w:r>
        <w:fldChar w:fldCharType="begin"/>
      </w:r>
      <w:r>
        <w:instrText xml:space="preserve"> PAGEREF _Toc30258 \h </w:instrText>
      </w:r>
      <w:r>
        <w:fldChar w:fldCharType="separate"/>
      </w:r>
      <w:r>
        <w:t>40</w:t>
      </w:r>
      <w:r>
        <w:fldChar w:fldCharType="end"/>
      </w:r>
      <w:r>
        <w:rPr>
          <w:rFonts w:hint="eastAsia"/>
          <w:color w:val="000000"/>
        </w:rPr>
        <w:fldChar w:fldCharType="end"/>
      </w:r>
    </w:p>
    <w:p w14:paraId="72F2CE1A">
      <w:pPr>
        <w:pStyle w:val="21"/>
        <w:tabs>
          <w:tab w:val="right" w:leader="dot" w:pos="9354"/>
        </w:tabs>
      </w:pPr>
      <w:r>
        <w:rPr>
          <w:rFonts w:hint="eastAsia"/>
          <w:color w:val="000000"/>
        </w:rPr>
        <w:fldChar w:fldCharType="begin"/>
      </w:r>
      <w:r>
        <w:rPr>
          <w:rFonts w:hint="eastAsia"/>
        </w:rPr>
        <w:instrText xml:space="preserve"> HYPERLINK \l _Toc24748 </w:instrText>
      </w:r>
      <w:r>
        <w:rPr>
          <w:rFonts w:hint="eastAsia"/>
        </w:rPr>
        <w:fldChar w:fldCharType="separate"/>
      </w:r>
      <w:r>
        <w:rPr>
          <w:rFonts w:hint="eastAsia" w:ascii="仿宋" w:hAnsi="仿宋" w:eastAsia="仿宋"/>
        </w:rPr>
        <w:t>7. 材料要求</w:t>
      </w:r>
      <w:r>
        <w:tab/>
      </w:r>
      <w:r>
        <w:fldChar w:fldCharType="begin"/>
      </w:r>
      <w:r>
        <w:instrText xml:space="preserve"> PAGEREF _Toc24748 \h </w:instrText>
      </w:r>
      <w:r>
        <w:fldChar w:fldCharType="separate"/>
      </w:r>
      <w:r>
        <w:t>41</w:t>
      </w:r>
      <w:r>
        <w:fldChar w:fldCharType="end"/>
      </w:r>
      <w:r>
        <w:rPr>
          <w:rFonts w:hint="eastAsia"/>
          <w:color w:val="000000"/>
        </w:rPr>
        <w:fldChar w:fldCharType="end"/>
      </w:r>
    </w:p>
    <w:p w14:paraId="3871F965">
      <w:pPr>
        <w:pStyle w:val="21"/>
        <w:tabs>
          <w:tab w:val="right" w:leader="dot" w:pos="9354"/>
        </w:tabs>
      </w:pPr>
      <w:r>
        <w:rPr>
          <w:rFonts w:hint="eastAsia"/>
          <w:color w:val="000000"/>
        </w:rPr>
        <w:fldChar w:fldCharType="begin"/>
      </w:r>
      <w:r>
        <w:rPr>
          <w:rFonts w:hint="eastAsia"/>
        </w:rPr>
        <w:instrText xml:space="preserve"> HYPERLINK \l _Toc27759 </w:instrText>
      </w:r>
      <w:r>
        <w:rPr>
          <w:rFonts w:hint="eastAsia"/>
        </w:rPr>
        <w:fldChar w:fldCharType="separate"/>
      </w:r>
      <w:r>
        <w:rPr>
          <w:rFonts w:hint="eastAsia" w:ascii="仿宋" w:hAnsi="仿宋" w:eastAsia="仿宋"/>
        </w:rPr>
        <w:t>8. 设备机具配置</w:t>
      </w:r>
      <w:r>
        <w:tab/>
      </w:r>
      <w:r>
        <w:fldChar w:fldCharType="begin"/>
      </w:r>
      <w:r>
        <w:instrText xml:space="preserve"> PAGEREF _Toc27759 \h </w:instrText>
      </w:r>
      <w:r>
        <w:fldChar w:fldCharType="separate"/>
      </w:r>
      <w:r>
        <w:t>41</w:t>
      </w:r>
      <w:r>
        <w:fldChar w:fldCharType="end"/>
      </w:r>
      <w:r>
        <w:rPr>
          <w:rFonts w:hint="eastAsia"/>
          <w:color w:val="000000"/>
        </w:rPr>
        <w:fldChar w:fldCharType="end"/>
      </w:r>
    </w:p>
    <w:p w14:paraId="6773DDC1">
      <w:pPr>
        <w:pStyle w:val="21"/>
        <w:tabs>
          <w:tab w:val="right" w:leader="dot" w:pos="9354"/>
        </w:tabs>
      </w:pPr>
      <w:r>
        <w:rPr>
          <w:rFonts w:hint="eastAsia"/>
          <w:color w:val="000000"/>
        </w:rPr>
        <w:fldChar w:fldCharType="begin"/>
      </w:r>
      <w:r>
        <w:rPr>
          <w:rFonts w:hint="eastAsia"/>
        </w:rPr>
        <w:instrText xml:space="preserve"> HYPERLINK \l _Toc11519 </w:instrText>
      </w:r>
      <w:r>
        <w:rPr>
          <w:rFonts w:hint="eastAsia"/>
        </w:rPr>
        <w:fldChar w:fldCharType="separate"/>
      </w:r>
      <w:r>
        <w:rPr>
          <w:rFonts w:hint="eastAsia" w:ascii="仿宋" w:hAnsi="仿宋" w:eastAsia="仿宋"/>
        </w:rPr>
        <w:t>9. 质量控制及检验</w:t>
      </w:r>
      <w:r>
        <w:tab/>
      </w:r>
      <w:r>
        <w:fldChar w:fldCharType="begin"/>
      </w:r>
      <w:r>
        <w:instrText xml:space="preserve"> PAGEREF _Toc11519 \h </w:instrText>
      </w:r>
      <w:r>
        <w:fldChar w:fldCharType="separate"/>
      </w:r>
      <w:r>
        <w:t>41</w:t>
      </w:r>
      <w:r>
        <w:fldChar w:fldCharType="end"/>
      </w:r>
      <w:r>
        <w:rPr>
          <w:rFonts w:hint="eastAsia"/>
          <w:color w:val="000000"/>
        </w:rPr>
        <w:fldChar w:fldCharType="end"/>
      </w:r>
    </w:p>
    <w:p w14:paraId="06632C5F">
      <w:pPr>
        <w:pStyle w:val="23"/>
        <w:tabs>
          <w:tab w:val="right" w:leader="dot" w:pos="9354"/>
        </w:tabs>
      </w:pPr>
      <w:r>
        <w:rPr>
          <w:rFonts w:hint="eastAsia"/>
          <w:color w:val="000000"/>
        </w:rPr>
        <w:fldChar w:fldCharType="begin"/>
      </w:r>
      <w:r>
        <w:rPr>
          <w:rFonts w:hint="eastAsia"/>
        </w:rPr>
        <w:instrText xml:space="preserve"> HYPERLINK \l _Toc12151 </w:instrText>
      </w:r>
      <w:r>
        <w:rPr>
          <w:rFonts w:hint="eastAsia"/>
        </w:rPr>
        <w:fldChar w:fldCharType="separate"/>
      </w:r>
      <w:r>
        <w:rPr>
          <w:rFonts w:hint="eastAsia"/>
        </w:rPr>
        <w:t>9.1 验收标准</w:t>
      </w:r>
      <w:r>
        <w:tab/>
      </w:r>
      <w:r>
        <w:fldChar w:fldCharType="begin"/>
      </w:r>
      <w:r>
        <w:instrText xml:space="preserve"> PAGEREF _Toc12151 \h </w:instrText>
      </w:r>
      <w:r>
        <w:fldChar w:fldCharType="separate"/>
      </w:r>
      <w:r>
        <w:t>41</w:t>
      </w:r>
      <w:r>
        <w:fldChar w:fldCharType="end"/>
      </w:r>
      <w:r>
        <w:rPr>
          <w:rFonts w:hint="eastAsia"/>
          <w:color w:val="000000"/>
        </w:rPr>
        <w:fldChar w:fldCharType="end"/>
      </w:r>
    </w:p>
    <w:p w14:paraId="61BBF3CE">
      <w:pPr>
        <w:pStyle w:val="23"/>
        <w:tabs>
          <w:tab w:val="right" w:leader="dot" w:pos="9354"/>
        </w:tabs>
      </w:pPr>
      <w:r>
        <w:rPr>
          <w:rFonts w:hint="eastAsia"/>
          <w:color w:val="000000"/>
        </w:rPr>
        <w:fldChar w:fldCharType="begin"/>
      </w:r>
      <w:r>
        <w:rPr>
          <w:rFonts w:hint="eastAsia"/>
        </w:rPr>
        <w:instrText xml:space="preserve"> HYPERLINK \l _Toc19590 </w:instrText>
      </w:r>
      <w:r>
        <w:rPr>
          <w:rFonts w:hint="eastAsia"/>
        </w:rPr>
        <w:fldChar w:fldCharType="separate"/>
      </w:r>
      <w:r>
        <w:rPr>
          <w:rFonts w:hint="eastAsia"/>
        </w:rPr>
        <w:t>9.2 验收程序</w:t>
      </w:r>
      <w:r>
        <w:tab/>
      </w:r>
      <w:r>
        <w:fldChar w:fldCharType="begin"/>
      </w:r>
      <w:r>
        <w:instrText xml:space="preserve"> PAGEREF _Toc19590 \h </w:instrText>
      </w:r>
      <w:r>
        <w:fldChar w:fldCharType="separate"/>
      </w:r>
      <w:r>
        <w:t>44</w:t>
      </w:r>
      <w:r>
        <w:fldChar w:fldCharType="end"/>
      </w:r>
      <w:r>
        <w:rPr>
          <w:rFonts w:hint="eastAsia"/>
          <w:color w:val="000000"/>
        </w:rPr>
        <w:fldChar w:fldCharType="end"/>
      </w:r>
    </w:p>
    <w:p w14:paraId="7D441114">
      <w:pPr>
        <w:pStyle w:val="23"/>
        <w:tabs>
          <w:tab w:val="right" w:leader="dot" w:pos="9354"/>
        </w:tabs>
      </w:pPr>
      <w:r>
        <w:rPr>
          <w:rFonts w:hint="eastAsia"/>
          <w:color w:val="000000"/>
        </w:rPr>
        <w:fldChar w:fldCharType="begin"/>
      </w:r>
      <w:r>
        <w:rPr>
          <w:rFonts w:hint="eastAsia"/>
        </w:rPr>
        <w:instrText xml:space="preserve"> HYPERLINK \l _Toc29981 </w:instrText>
      </w:r>
      <w:r>
        <w:rPr>
          <w:rFonts w:hint="eastAsia"/>
        </w:rPr>
        <w:fldChar w:fldCharType="separate"/>
      </w:r>
      <w:r>
        <w:rPr>
          <w:rFonts w:hint="eastAsia"/>
        </w:rPr>
        <w:t>9.3 塔式起重机拆除前的准备工作</w:t>
      </w:r>
      <w:r>
        <w:tab/>
      </w:r>
      <w:r>
        <w:fldChar w:fldCharType="begin"/>
      </w:r>
      <w:r>
        <w:instrText xml:space="preserve"> PAGEREF _Toc29981 \h </w:instrText>
      </w:r>
      <w:r>
        <w:fldChar w:fldCharType="separate"/>
      </w:r>
      <w:r>
        <w:t>47</w:t>
      </w:r>
      <w:r>
        <w:fldChar w:fldCharType="end"/>
      </w:r>
      <w:r>
        <w:rPr>
          <w:rFonts w:hint="eastAsia"/>
          <w:color w:val="000000"/>
        </w:rPr>
        <w:fldChar w:fldCharType="end"/>
      </w:r>
    </w:p>
    <w:p w14:paraId="0DE02F5A">
      <w:pPr>
        <w:pStyle w:val="23"/>
        <w:tabs>
          <w:tab w:val="right" w:leader="dot" w:pos="9354"/>
        </w:tabs>
      </w:pPr>
      <w:r>
        <w:rPr>
          <w:rFonts w:hint="eastAsia"/>
          <w:color w:val="000000"/>
        </w:rPr>
        <w:fldChar w:fldCharType="begin"/>
      </w:r>
      <w:r>
        <w:rPr>
          <w:rFonts w:hint="eastAsia"/>
        </w:rPr>
        <w:instrText xml:space="preserve"> HYPERLINK \l _Toc29824 </w:instrText>
      </w:r>
      <w:r>
        <w:rPr>
          <w:rFonts w:hint="eastAsia"/>
        </w:rPr>
        <w:fldChar w:fldCharType="separate"/>
      </w:r>
      <w:r>
        <w:rPr>
          <w:rFonts w:hint="eastAsia"/>
        </w:rPr>
        <w:t>9.4 .检查内容</w:t>
      </w:r>
      <w:r>
        <w:tab/>
      </w:r>
      <w:r>
        <w:fldChar w:fldCharType="begin"/>
      </w:r>
      <w:r>
        <w:instrText xml:space="preserve"> PAGEREF _Toc29824 \h </w:instrText>
      </w:r>
      <w:r>
        <w:fldChar w:fldCharType="separate"/>
      </w:r>
      <w:r>
        <w:t>47</w:t>
      </w:r>
      <w:r>
        <w:fldChar w:fldCharType="end"/>
      </w:r>
      <w:r>
        <w:rPr>
          <w:rFonts w:hint="eastAsia"/>
          <w:color w:val="000000"/>
        </w:rPr>
        <w:fldChar w:fldCharType="end"/>
      </w:r>
    </w:p>
    <w:p w14:paraId="2C94A2F0">
      <w:pPr>
        <w:pStyle w:val="21"/>
        <w:tabs>
          <w:tab w:val="right" w:leader="dot" w:pos="9354"/>
        </w:tabs>
      </w:pPr>
      <w:r>
        <w:rPr>
          <w:rFonts w:hint="eastAsia"/>
          <w:color w:val="000000"/>
        </w:rPr>
        <w:fldChar w:fldCharType="begin"/>
      </w:r>
      <w:r>
        <w:rPr>
          <w:rFonts w:hint="eastAsia"/>
        </w:rPr>
        <w:instrText xml:space="preserve"> HYPERLINK \l _Toc24981 </w:instrText>
      </w:r>
      <w:r>
        <w:rPr>
          <w:rFonts w:hint="eastAsia"/>
        </w:rPr>
        <w:fldChar w:fldCharType="separate"/>
      </w:r>
      <w:r>
        <w:rPr>
          <w:rFonts w:hint="eastAsia" w:ascii="仿宋" w:hAnsi="仿宋" w:eastAsia="仿宋"/>
        </w:rPr>
        <w:t>10. 安全及环保要求</w:t>
      </w:r>
      <w:r>
        <w:tab/>
      </w:r>
      <w:r>
        <w:fldChar w:fldCharType="begin"/>
      </w:r>
      <w:r>
        <w:instrText xml:space="preserve"> PAGEREF _Toc24981 \h </w:instrText>
      </w:r>
      <w:r>
        <w:fldChar w:fldCharType="separate"/>
      </w:r>
      <w:r>
        <w:t>51</w:t>
      </w:r>
      <w:r>
        <w:fldChar w:fldCharType="end"/>
      </w:r>
      <w:r>
        <w:rPr>
          <w:rFonts w:hint="eastAsia"/>
          <w:color w:val="000000"/>
        </w:rPr>
        <w:fldChar w:fldCharType="end"/>
      </w:r>
    </w:p>
    <w:p w14:paraId="5A41D9A7">
      <w:pPr>
        <w:pStyle w:val="23"/>
        <w:tabs>
          <w:tab w:val="right" w:leader="dot" w:pos="9354"/>
        </w:tabs>
      </w:pPr>
      <w:r>
        <w:rPr>
          <w:rFonts w:hint="eastAsia"/>
          <w:color w:val="000000"/>
        </w:rPr>
        <w:fldChar w:fldCharType="begin"/>
      </w:r>
      <w:r>
        <w:rPr>
          <w:rFonts w:hint="eastAsia"/>
        </w:rPr>
        <w:instrText xml:space="preserve"> HYPERLINK \l _Toc5258 </w:instrText>
      </w:r>
      <w:r>
        <w:rPr>
          <w:rFonts w:hint="eastAsia"/>
        </w:rPr>
        <w:fldChar w:fldCharType="separate"/>
      </w:r>
      <w:r>
        <w:rPr>
          <w:rFonts w:hint="eastAsia"/>
        </w:rPr>
        <w:t>10.1 安全要求</w:t>
      </w:r>
      <w:r>
        <w:tab/>
      </w:r>
      <w:r>
        <w:fldChar w:fldCharType="begin"/>
      </w:r>
      <w:r>
        <w:instrText xml:space="preserve"> PAGEREF _Toc5258 \h </w:instrText>
      </w:r>
      <w:r>
        <w:fldChar w:fldCharType="separate"/>
      </w:r>
      <w:r>
        <w:t>51</w:t>
      </w:r>
      <w:r>
        <w:fldChar w:fldCharType="end"/>
      </w:r>
      <w:r>
        <w:rPr>
          <w:rFonts w:hint="eastAsia"/>
          <w:color w:val="000000"/>
        </w:rPr>
        <w:fldChar w:fldCharType="end"/>
      </w:r>
    </w:p>
    <w:p w14:paraId="71E121D9">
      <w:pPr>
        <w:pStyle w:val="23"/>
        <w:tabs>
          <w:tab w:val="right" w:leader="dot" w:pos="9354"/>
        </w:tabs>
      </w:pPr>
      <w:r>
        <w:rPr>
          <w:rFonts w:hint="eastAsia"/>
          <w:color w:val="000000"/>
        </w:rPr>
        <w:fldChar w:fldCharType="begin"/>
      </w:r>
      <w:r>
        <w:rPr>
          <w:rFonts w:hint="eastAsia"/>
        </w:rPr>
        <w:instrText xml:space="preserve"> HYPERLINK \l _Toc6460 </w:instrText>
      </w:r>
      <w:r>
        <w:rPr>
          <w:rFonts w:hint="eastAsia"/>
        </w:rPr>
        <w:fldChar w:fldCharType="separate"/>
      </w:r>
      <w:r>
        <w:rPr>
          <w:rFonts w:hint="eastAsia"/>
        </w:rPr>
        <w:t>10.2 环保要求</w:t>
      </w:r>
      <w:r>
        <w:tab/>
      </w:r>
      <w:r>
        <w:fldChar w:fldCharType="begin"/>
      </w:r>
      <w:r>
        <w:instrText xml:space="preserve"> PAGEREF _Toc6460 \h </w:instrText>
      </w:r>
      <w:r>
        <w:fldChar w:fldCharType="separate"/>
      </w:r>
      <w:r>
        <w:t>51</w:t>
      </w:r>
      <w:r>
        <w:fldChar w:fldCharType="end"/>
      </w:r>
      <w:r>
        <w:rPr>
          <w:rFonts w:hint="eastAsia"/>
          <w:color w:val="000000"/>
        </w:rPr>
        <w:fldChar w:fldCharType="end"/>
      </w:r>
    </w:p>
    <w:p w14:paraId="4FBF294C">
      <w:pPr>
        <w:pStyle w:val="21"/>
        <w:tabs>
          <w:tab w:val="right" w:leader="dot" w:pos="9354"/>
        </w:tabs>
      </w:pPr>
      <w:r>
        <w:rPr>
          <w:rFonts w:hint="eastAsia"/>
          <w:color w:val="000000"/>
        </w:rPr>
        <w:fldChar w:fldCharType="begin"/>
      </w:r>
      <w:r>
        <w:rPr>
          <w:rFonts w:hint="eastAsia"/>
        </w:rPr>
        <w:instrText xml:space="preserve"> HYPERLINK \l _Toc19941 </w:instrText>
      </w:r>
      <w:r>
        <w:rPr>
          <w:rFonts w:hint="eastAsia"/>
        </w:rPr>
        <w:fldChar w:fldCharType="separate"/>
      </w:r>
      <w:r>
        <w:rPr>
          <w:rFonts w:hint="eastAsia" w:ascii="仿宋" w:hAnsi="仿宋" w:eastAsia="仿宋"/>
        </w:rPr>
        <w:t>11. 风险源辨识及应急处置措施</w:t>
      </w:r>
      <w:r>
        <w:tab/>
      </w:r>
      <w:r>
        <w:fldChar w:fldCharType="begin"/>
      </w:r>
      <w:r>
        <w:instrText xml:space="preserve"> PAGEREF _Toc19941 \h </w:instrText>
      </w:r>
      <w:r>
        <w:fldChar w:fldCharType="separate"/>
      </w:r>
      <w:r>
        <w:t>52</w:t>
      </w:r>
      <w:r>
        <w:fldChar w:fldCharType="end"/>
      </w:r>
      <w:r>
        <w:rPr>
          <w:rFonts w:hint="eastAsia"/>
          <w:color w:val="000000"/>
        </w:rPr>
        <w:fldChar w:fldCharType="end"/>
      </w:r>
    </w:p>
    <w:p w14:paraId="78A9A504">
      <w:pPr>
        <w:pStyle w:val="21"/>
        <w:tabs>
          <w:tab w:val="right" w:leader="dot" w:pos="9354"/>
        </w:tabs>
      </w:pPr>
      <w:r>
        <w:rPr>
          <w:rFonts w:hint="eastAsia"/>
          <w:color w:val="000000"/>
        </w:rPr>
        <w:fldChar w:fldCharType="begin"/>
      </w:r>
      <w:r>
        <w:rPr>
          <w:rFonts w:hint="eastAsia"/>
        </w:rPr>
        <w:instrText xml:space="preserve"> HYPERLINK \l _Toc21853 </w:instrText>
      </w:r>
      <w:r>
        <w:rPr>
          <w:rFonts w:hint="eastAsia"/>
        </w:rPr>
        <w:fldChar w:fldCharType="separate"/>
      </w:r>
      <w:r>
        <w:rPr>
          <w:rFonts w:hint="eastAsia" w:eastAsia="仿宋_GB2312"/>
        </w:rPr>
        <w:t xml:space="preserve">12. </w:t>
      </w:r>
      <w:r>
        <w:rPr>
          <w:rFonts w:hint="eastAsia" w:ascii="仿宋" w:hAnsi="仿宋" w:eastAsia="仿宋"/>
        </w:rPr>
        <w:t>特种作业管理及安拆人员证件</w:t>
      </w:r>
      <w:r>
        <w:tab/>
      </w:r>
      <w:r>
        <w:fldChar w:fldCharType="begin"/>
      </w:r>
      <w:r>
        <w:instrText xml:space="preserve"> PAGEREF _Toc21853 \h </w:instrText>
      </w:r>
      <w:r>
        <w:fldChar w:fldCharType="separate"/>
      </w:r>
      <w:r>
        <w:t>56</w:t>
      </w:r>
      <w:r>
        <w:fldChar w:fldCharType="end"/>
      </w:r>
      <w:r>
        <w:rPr>
          <w:rFonts w:hint="eastAsia"/>
          <w:color w:val="000000"/>
        </w:rPr>
        <w:fldChar w:fldCharType="end"/>
      </w:r>
    </w:p>
    <w:p w14:paraId="5254CF4E">
      <w:pPr>
        <w:pStyle w:val="21"/>
        <w:tabs>
          <w:tab w:val="right" w:leader="dot" w:pos="9354"/>
        </w:tabs>
        <w:rPr>
          <w:color w:val="000000"/>
        </w:rPr>
      </w:pPr>
      <w:r>
        <w:rPr>
          <w:rFonts w:hint="eastAsia"/>
          <w:color w:val="000000"/>
        </w:rPr>
        <w:fldChar w:fldCharType="end"/>
      </w:r>
    </w:p>
    <w:p w14:paraId="2BB69219">
      <w:pPr>
        <w:spacing w:line="500" w:lineRule="exact"/>
        <w:ind w:firstLine="0" w:firstLineChars="0"/>
        <w:rPr>
          <w:b/>
          <w:color w:val="000000"/>
        </w:rPr>
        <w:sectPr>
          <w:footerReference r:id="rId11" w:type="default"/>
          <w:pgSz w:w="11906" w:h="16838"/>
          <w:pgMar w:top="1134" w:right="1134" w:bottom="1134" w:left="1418" w:header="851" w:footer="964" w:gutter="0"/>
          <w:pgNumType w:start="1"/>
          <w:cols w:space="720" w:num="1"/>
          <w:docGrid w:type="lines" w:linePitch="312" w:charSpace="0"/>
        </w:sectPr>
      </w:pPr>
    </w:p>
    <w:p w14:paraId="720F0402">
      <w:pPr>
        <w:spacing w:line="240" w:lineRule="auto"/>
        <w:ind w:firstLine="0" w:firstLineChars="0"/>
        <w:jc w:val="center"/>
        <w:rPr>
          <w:b/>
          <w:color w:val="000000"/>
          <w:sz w:val="36"/>
          <w:szCs w:val="36"/>
        </w:rPr>
      </w:pPr>
      <w:bookmarkStart w:id="6" w:name="_Toc28013"/>
      <w:bookmarkStart w:id="7" w:name="_Toc17521"/>
      <w:bookmarkStart w:id="8" w:name="_Toc15913"/>
      <w:r>
        <w:rPr>
          <w:rFonts w:hint="eastAsia"/>
          <w:b/>
          <w:color w:val="000000"/>
          <w:sz w:val="36"/>
          <w:szCs w:val="36"/>
          <w:lang w:val="en-US" w:eastAsia="zh-CN"/>
        </w:rPr>
        <w:t>北江</w:t>
      </w:r>
      <w:r>
        <w:rPr>
          <w:rFonts w:hint="eastAsia"/>
          <w:b/>
          <w:color w:val="000000"/>
          <w:sz w:val="36"/>
          <w:szCs w:val="36"/>
        </w:rPr>
        <w:t>特大桥</w:t>
      </w:r>
    </w:p>
    <w:p w14:paraId="78C8C088">
      <w:pPr>
        <w:spacing w:line="240" w:lineRule="auto"/>
        <w:ind w:firstLine="0" w:firstLineChars="0"/>
        <w:jc w:val="center"/>
        <w:rPr>
          <w:b/>
          <w:bCs w:val="0"/>
          <w:color w:val="000000"/>
          <w:sz w:val="44"/>
          <w:szCs w:val="44"/>
        </w:rPr>
      </w:pPr>
      <w:r>
        <w:rPr>
          <w:rFonts w:hint="eastAsia"/>
          <w:b/>
          <w:bCs w:val="0"/>
          <w:color w:val="000000"/>
          <w:sz w:val="36"/>
          <w:szCs w:val="36"/>
          <w:lang w:val="en-US" w:eastAsia="zh-CN"/>
        </w:rPr>
        <w:t>4#</w:t>
      </w:r>
      <w:r>
        <w:rPr>
          <w:rFonts w:hint="eastAsia"/>
          <w:b/>
          <w:bCs w:val="0"/>
          <w:color w:val="000000"/>
          <w:sz w:val="36"/>
          <w:szCs w:val="36"/>
        </w:rPr>
        <w:t>墩</w:t>
      </w:r>
      <w:r>
        <w:rPr>
          <w:rFonts w:hint="eastAsia"/>
          <w:b/>
          <w:bCs w:val="0"/>
          <w:color w:val="000000"/>
          <w:sz w:val="36"/>
          <w:szCs w:val="36"/>
          <w:lang w:eastAsia="zh-CN"/>
        </w:rPr>
        <w:t>XGT600-25S</w:t>
      </w:r>
      <w:r>
        <w:rPr>
          <w:rFonts w:hint="eastAsia"/>
          <w:b/>
          <w:bCs w:val="0"/>
          <w:color w:val="000000"/>
          <w:sz w:val="36"/>
          <w:szCs w:val="36"/>
        </w:rPr>
        <w:t>塔式起重机拆除作业指导书</w:t>
      </w:r>
      <w:bookmarkEnd w:id="6"/>
      <w:bookmarkEnd w:id="7"/>
      <w:bookmarkEnd w:id="8"/>
    </w:p>
    <w:p w14:paraId="7C39F5B1">
      <w:pPr>
        <w:pStyle w:val="2"/>
        <w:rPr>
          <w:rFonts w:ascii="仿宋" w:hAnsi="仿宋" w:eastAsia="仿宋"/>
          <w:color w:val="000000"/>
        </w:rPr>
      </w:pPr>
      <w:bookmarkStart w:id="9" w:name="_Toc161146669"/>
      <w:bookmarkStart w:id="10" w:name="_Toc23421"/>
      <w:bookmarkStart w:id="11" w:name="_Toc4544"/>
      <w:bookmarkStart w:id="12" w:name="_Toc24703"/>
      <w:bookmarkStart w:id="13" w:name="_Toc11614"/>
      <w:bookmarkStart w:id="14" w:name="_Toc32365"/>
      <w:r>
        <w:rPr>
          <w:rFonts w:hint="eastAsia" w:ascii="仿宋" w:hAnsi="仿宋" w:eastAsia="仿宋"/>
          <w:color w:val="000000"/>
        </w:rPr>
        <w:t>适用范围</w:t>
      </w:r>
      <w:bookmarkEnd w:id="9"/>
      <w:bookmarkEnd w:id="10"/>
      <w:bookmarkEnd w:id="11"/>
      <w:bookmarkEnd w:id="12"/>
      <w:bookmarkEnd w:id="13"/>
      <w:bookmarkEnd w:id="14"/>
    </w:p>
    <w:p w14:paraId="2C0B4F4F">
      <w:pPr>
        <w:rPr>
          <w:rFonts w:hint="eastAsia"/>
          <w:color w:val="auto"/>
        </w:rPr>
      </w:pPr>
      <w:bookmarkStart w:id="15" w:name="_Toc21508"/>
      <w:bookmarkStart w:id="16" w:name="_Toc161146670"/>
      <w:bookmarkStart w:id="17" w:name="_Toc776"/>
      <w:bookmarkStart w:id="18" w:name="_Toc1414"/>
      <w:r>
        <w:rPr>
          <w:rFonts w:hint="eastAsia"/>
          <w:color w:val="auto"/>
        </w:rPr>
        <w:t>本方作业指导书适用于</w:t>
      </w:r>
      <w:bookmarkStart w:id="19" w:name="_Toc15348"/>
      <w:bookmarkStart w:id="20" w:name="_Toc23712"/>
      <w:bookmarkStart w:id="21" w:name="_Toc1402"/>
      <w:bookmarkStart w:id="22" w:name="_Toc3184"/>
      <w:bookmarkStart w:id="23" w:name="_Toc9912"/>
      <w:bookmarkStart w:id="24" w:name="_Toc26706"/>
      <w:bookmarkStart w:id="25" w:name="_Toc14037"/>
      <w:r>
        <w:rPr>
          <w:rFonts w:hint="eastAsia"/>
          <w:color w:val="auto"/>
        </w:rPr>
        <w:t>清远清新至广州花都高速公路TJ3标</w:t>
      </w:r>
      <w:bookmarkEnd w:id="19"/>
      <w:bookmarkEnd w:id="20"/>
      <w:bookmarkEnd w:id="21"/>
      <w:bookmarkEnd w:id="22"/>
      <w:bookmarkEnd w:id="23"/>
      <w:bookmarkEnd w:id="24"/>
      <w:bookmarkEnd w:id="25"/>
      <w:r>
        <w:rPr>
          <w:rFonts w:hint="eastAsia"/>
          <w:color w:val="auto"/>
        </w:rPr>
        <w:t>段北江特大桥</w:t>
      </w:r>
      <w:r>
        <w:rPr>
          <w:rFonts w:hint="eastAsia"/>
          <w:color w:val="auto"/>
          <w:lang w:val="en-US" w:eastAsia="zh-CN"/>
        </w:rPr>
        <w:t>塔式</w:t>
      </w:r>
      <w:r>
        <w:rPr>
          <w:rFonts w:hint="eastAsia"/>
          <w:color w:val="auto"/>
          <w:lang w:eastAsia="zh-CN"/>
        </w:rPr>
        <w:t>4#</w:t>
      </w:r>
      <w:r>
        <w:rPr>
          <w:rFonts w:hint="eastAsia"/>
          <w:color w:val="auto"/>
        </w:rPr>
        <w:t>墩</w:t>
      </w:r>
      <w:r>
        <w:rPr>
          <w:rFonts w:hint="eastAsia"/>
          <w:color w:val="auto"/>
          <w:lang w:eastAsia="zh-CN"/>
        </w:rPr>
        <w:t>XGT600-25S</w:t>
      </w:r>
      <w:r>
        <w:rPr>
          <w:rFonts w:hint="eastAsia"/>
          <w:color w:val="auto"/>
        </w:rPr>
        <w:t>塔式起重机拆除施工。</w:t>
      </w:r>
    </w:p>
    <w:p w14:paraId="0ACD790A">
      <w:pPr>
        <w:pStyle w:val="2"/>
        <w:rPr>
          <w:rFonts w:ascii="仿宋" w:hAnsi="仿宋" w:eastAsia="仿宋"/>
          <w:color w:val="000000"/>
        </w:rPr>
      </w:pPr>
      <w:bookmarkStart w:id="26" w:name="_Toc5799"/>
      <w:r>
        <w:rPr>
          <w:rFonts w:hint="eastAsia" w:ascii="仿宋" w:hAnsi="仿宋" w:eastAsia="仿宋"/>
          <w:color w:val="000000"/>
        </w:rPr>
        <w:t>作业准备</w:t>
      </w:r>
      <w:bookmarkEnd w:id="15"/>
      <w:bookmarkEnd w:id="16"/>
      <w:bookmarkEnd w:id="17"/>
      <w:bookmarkEnd w:id="18"/>
      <w:bookmarkEnd w:id="26"/>
    </w:p>
    <w:p w14:paraId="42C359D0">
      <w:pPr>
        <w:pStyle w:val="3"/>
        <w:rPr>
          <w:color w:val="000000"/>
        </w:rPr>
      </w:pPr>
      <w:bookmarkStart w:id="27" w:name="_Toc23909"/>
      <w:bookmarkStart w:id="28" w:name="_Toc161145381"/>
      <w:bookmarkStart w:id="29" w:name="_Toc161146671"/>
      <w:bookmarkStart w:id="30" w:name="_Toc5064"/>
      <w:r>
        <w:rPr>
          <w:rFonts w:hint="eastAsia"/>
          <w:color w:val="000000"/>
        </w:rPr>
        <w:t>内业技术准备</w:t>
      </w:r>
      <w:bookmarkEnd w:id="27"/>
      <w:bookmarkEnd w:id="28"/>
      <w:bookmarkEnd w:id="29"/>
      <w:bookmarkEnd w:id="30"/>
    </w:p>
    <w:p w14:paraId="532407A8">
      <w:pPr>
        <w:rPr>
          <w:color w:val="000000"/>
        </w:rPr>
      </w:pPr>
      <w:bookmarkStart w:id="31" w:name="_Toc161145382"/>
      <w:bookmarkStart w:id="32" w:name="_Toc32695"/>
      <w:bookmarkStart w:id="33" w:name="_Toc161146672"/>
      <w:r>
        <w:rPr>
          <w:rFonts w:hint="eastAsia"/>
          <w:color w:val="000000"/>
        </w:rPr>
        <w:t>（1）根据审批的施工方案，编制作业指导书，并在开工前组织技术人员认真学习实施性施工组织设计、施工方案、阅读、审核施工图纸，澄清有关技术问题，熟悉规范和技术标准。制定施工安全保证措施，提出应急预案。对施工人员进行技术交底，对参加施工人员进行上岗前培训，考核合格后持证上岗。</w:t>
      </w:r>
    </w:p>
    <w:p w14:paraId="2AEC3046">
      <w:pPr>
        <w:rPr>
          <w:color w:val="000000"/>
        </w:rPr>
      </w:pPr>
      <w:r>
        <w:rPr>
          <w:rFonts w:hint="eastAsia"/>
          <w:color w:val="000000"/>
        </w:rPr>
        <w:t>（2）技术人员熟悉施工规范和技术标准。</w:t>
      </w:r>
    </w:p>
    <w:p w14:paraId="13026468">
      <w:pPr>
        <w:rPr>
          <w:color w:val="000000"/>
        </w:rPr>
      </w:pPr>
      <w:r>
        <w:rPr>
          <w:rFonts w:hint="eastAsia"/>
          <w:color w:val="000000"/>
        </w:rPr>
        <w:t>（3）编制施工作业指导书，在施工前，组织全体施工人员进行技术交底工作，针对施工过程主要技术要求、质量标准、质量目标提出具体要求，并对各类施工人员等进行岗前安全培训。</w:t>
      </w:r>
    </w:p>
    <w:p w14:paraId="447D553A">
      <w:pPr>
        <w:pStyle w:val="3"/>
        <w:rPr>
          <w:color w:val="000000"/>
        </w:rPr>
      </w:pPr>
      <w:bookmarkStart w:id="34" w:name="_Toc31529"/>
      <w:r>
        <w:rPr>
          <w:rFonts w:hint="eastAsia"/>
          <w:color w:val="000000"/>
        </w:rPr>
        <w:t>外业准备</w:t>
      </w:r>
      <w:bookmarkEnd w:id="31"/>
      <w:bookmarkEnd w:id="32"/>
      <w:bookmarkEnd w:id="33"/>
      <w:bookmarkEnd w:id="34"/>
    </w:p>
    <w:p w14:paraId="2E536535">
      <w:pPr>
        <w:rPr>
          <w:color w:val="000000"/>
        </w:rPr>
      </w:pPr>
      <w:bookmarkStart w:id="35" w:name="_Toc6998"/>
      <w:bookmarkStart w:id="36" w:name="_Toc18545"/>
      <w:bookmarkStart w:id="37" w:name="_Toc963"/>
      <w:bookmarkStart w:id="38" w:name="_Toc161146673"/>
      <w:bookmarkStart w:id="39" w:name="_Toc31270"/>
      <w:r>
        <w:rPr>
          <w:rFonts w:hint="eastAsia"/>
          <w:color w:val="000000"/>
        </w:rPr>
        <w:t>（1）机械设备准备：组织机械设备进场拆除，并验收合格。</w:t>
      </w:r>
    </w:p>
    <w:p w14:paraId="16E80481">
      <w:pPr>
        <w:rPr>
          <w:color w:val="000000"/>
        </w:rPr>
      </w:pPr>
      <w:r>
        <w:rPr>
          <w:rFonts w:hint="eastAsia"/>
          <w:color w:val="000000"/>
        </w:rPr>
        <w:t>（2）清理施工范围内障碍物。</w:t>
      </w:r>
    </w:p>
    <w:p w14:paraId="67D51D37">
      <w:pPr>
        <w:rPr>
          <w:color w:val="000000"/>
        </w:rPr>
      </w:pPr>
      <w:bookmarkStart w:id="40" w:name="bookmark13"/>
      <w:bookmarkEnd w:id="40"/>
      <w:r>
        <w:rPr>
          <w:rFonts w:hint="eastAsia"/>
          <w:color w:val="000000"/>
        </w:rPr>
        <w:t>（3）现场用水、用电满足施工要求。</w:t>
      </w:r>
    </w:p>
    <w:p w14:paraId="2DC92AA6">
      <w:pPr>
        <w:pStyle w:val="2"/>
        <w:rPr>
          <w:rFonts w:ascii="仿宋" w:hAnsi="仿宋" w:eastAsia="仿宋"/>
          <w:color w:val="000000"/>
        </w:rPr>
      </w:pPr>
      <w:bookmarkStart w:id="41" w:name="bookmark14"/>
      <w:bookmarkEnd w:id="41"/>
      <w:bookmarkStart w:id="42" w:name="_Toc22567"/>
      <w:r>
        <w:rPr>
          <w:rFonts w:hint="eastAsia" w:ascii="仿宋" w:hAnsi="仿宋" w:eastAsia="仿宋"/>
          <w:color w:val="000000"/>
        </w:rPr>
        <w:t>技术要求</w:t>
      </w:r>
      <w:bookmarkEnd w:id="35"/>
      <w:bookmarkEnd w:id="36"/>
      <w:bookmarkEnd w:id="37"/>
      <w:bookmarkEnd w:id="38"/>
      <w:bookmarkEnd w:id="39"/>
      <w:bookmarkEnd w:id="42"/>
    </w:p>
    <w:p w14:paraId="11F9EC73">
      <w:pPr>
        <w:rPr>
          <w:color w:val="000000"/>
        </w:rPr>
      </w:pPr>
      <w:bookmarkStart w:id="43" w:name="_Toc26328"/>
      <w:bookmarkStart w:id="44" w:name="_Toc161146676"/>
      <w:bookmarkStart w:id="45" w:name="_Toc17724"/>
      <w:bookmarkStart w:id="46" w:name="_Toc26057"/>
      <w:bookmarkStart w:id="47" w:name="_Toc27145"/>
      <w:r>
        <w:rPr>
          <w:rFonts w:hint="eastAsia"/>
          <w:color w:val="000000"/>
        </w:rPr>
        <w:t>本方案的技术保证条件主要有：</w:t>
      </w:r>
    </w:p>
    <w:p w14:paraId="7D1FA62C">
      <w:pPr>
        <w:rPr>
          <w:color w:val="000000"/>
        </w:rPr>
      </w:pPr>
      <w:r>
        <w:rPr>
          <w:rFonts w:hint="eastAsia"/>
          <w:color w:val="000000"/>
        </w:rPr>
        <w:t>（1）对拆除的起吊构件的重量、幅度进行详细的核算；</w:t>
      </w:r>
    </w:p>
    <w:p w14:paraId="0B89EA93">
      <w:pPr>
        <w:rPr>
          <w:color w:val="000000"/>
        </w:rPr>
      </w:pPr>
      <w:r>
        <w:rPr>
          <w:rFonts w:hint="eastAsia"/>
          <w:color w:val="000000"/>
        </w:rPr>
        <w:t>（2）对退场设备进行退场检验，对地基进行验收，确保设备性能及施工条件可靠；</w:t>
      </w:r>
    </w:p>
    <w:p w14:paraId="36569787">
      <w:pPr>
        <w:rPr>
          <w:color w:val="000000"/>
        </w:rPr>
      </w:pPr>
      <w:r>
        <w:rPr>
          <w:rFonts w:hint="eastAsia"/>
          <w:color w:val="000000"/>
        </w:rPr>
        <w:t>（3）模拟现场的实际作业情况，保证拆除场地空间足够，避免吊装过程中的干涉；</w:t>
      </w:r>
    </w:p>
    <w:p w14:paraId="141AF202">
      <w:pPr>
        <w:rPr>
          <w:color w:val="000000"/>
        </w:rPr>
      </w:pPr>
      <w:r>
        <w:rPr>
          <w:rFonts w:hint="eastAsia"/>
          <w:color w:val="000000"/>
        </w:rPr>
        <w:t>（4）合理安排拆除工序，协调好场地堆放及构件倒运顺序；</w:t>
      </w:r>
    </w:p>
    <w:p w14:paraId="0D0FC7BF">
      <w:pPr>
        <w:rPr>
          <w:color w:val="000000"/>
        </w:rPr>
      </w:pPr>
      <w:r>
        <w:rPr>
          <w:rFonts w:hint="eastAsia"/>
          <w:color w:val="000000"/>
        </w:rPr>
        <w:t>（5）加强技术交底，确保作业过程安全。</w:t>
      </w:r>
    </w:p>
    <w:p w14:paraId="336EF0BB">
      <w:pPr>
        <w:pStyle w:val="2"/>
        <w:rPr>
          <w:rFonts w:ascii="仿宋" w:hAnsi="仿宋" w:eastAsia="仿宋"/>
          <w:color w:val="000000"/>
        </w:rPr>
      </w:pPr>
      <w:bookmarkStart w:id="48" w:name="_Toc14716"/>
      <w:r>
        <w:rPr>
          <w:rFonts w:hint="eastAsia" w:ascii="仿宋" w:hAnsi="仿宋" w:eastAsia="仿宋"/>
          <w:color w:val="000000"/>
        </w:rPr>
        <w:t>施工程序与工艺流程</w:t>
      </w:r>
      <w:bookmarkEnd w:id="43"/>
      <w:bookmarkEnd w:id="44"/>
      <w:bookmarkEnd w:id="45"/>
      <w:bookmarkEnd w:id="46"/>
      <w:bookmarkEnd w:id="47"/>
      <w:bookmarkEnd w:id="48"/>
    </w:p>
    <w:p w14:paraId="2D34D600">
      <w:pPr>
        <w:keepNext w:val="0"/>
        <w:keepLines w:val="0"/>
        <w:pageBreakBefore w:val="0"/>
        <w:widowControl/>
        <w:kinsoku/>
        <w:wordWrap/>
        <w:overflowPunct/>
        <w:topLinePunct w:val="0"/>
        <w:autoSpaceDE/>
        <w:autoSpaceDN/>
        <w:bidi w:val="0"/>
        <w:adjustRightInd/>
        <w:snapToGrid/>
        <w:spacing w:line="240" w:lineRule="auto"/>
        <w:ind w:firstLine="560"/>
        <w:jc w:val="left"/>
        <w:textAlignment w:val="auto"/>
        <w:rPr>
          <w:rFonts w:hint="eastAsia" w:ascii="仿宋" w:hAnsi="仿宋" w:eastAsia="仿宋" w:cs="仿宋"/>
          <w:lang w:val="en-US" w:eastAsia="zh-CN"/>
        </w:rPr>
      </w:pPr>
      <w:bookmarkStart w:id="49" w:name="_Toc9350"/>
      <w:bookmarkStart w:id="50" w:name="_Toc161146679"/>
      <w:bookmarkStart w:id="51" w:name="_Toc6878"/>
      <w:bookmarkStart w:id="52" w:name="_Toc18653"/>
      <w:r>
        <w:rPr>
          <w:rFonts w:hint="eastAsia" w:ascii="仿宋" w:hAnsi="仿宋" w:eastAsia="仿宋" w:cs="仿宋"/>
        </w:rPr>
        <w:t>降低标准节→</w:t>
      </w:r>
      <w:r>
        <w:rPr>
          <w:rFonts w:hint="eastAsia" w:cs="仿宋"/>
          <w:lang w:val="en-US" w:eastAsia="zh-CN"/>
        </w:rPr>
        <w:t>拆除附着</w:t>
      </w:r>
      <w:r>
        <w:rPr>
          <w:rFonts w:hint="eastAsia" w:ascii="仿宋" w:hAnsi="仿宋" w:eastAsia="仿宋" w:cs="仿宋"/>
        </w:rPr>
        <w:t>→拆除平衡臂配重（留</w:t>
      </w:r>
      <w:r>
        <w:rPr>
          <w:rFonts w:hint="eastAsia" w:cs="仿宋"/>
          <w:lang w:val="en-US" w:eastAsia="zh-CN"/>
        </w:rPr>
        <w:t>1</w:t>
      </w:r>
      <w:r>
        <w:rPr>
          <w:rFonts w:hint="eastAsia" w:ascii="仿宋" w:hAnsi="仿宋" w:eastAsia="仿宋" w:cs="仿宋"/>
        </w:rPr>
        <w:t>块</w:t>
      </w:r>
      <w:r>
        <w:rPr>
          <w:rFonts w:hint="eastAsia" w:cs="仿宋"/>
          <w:lang w:val="en-US" w:eastAsia="zh-CN"/>
        </w:rPr>
        <w:t>5.5</w:t>
      </w:r>
      <w:r>
        <w:rPr>
          <w:rFonts w:hint="eastAsia" w:cs="仿宋"/>
          <w:lang w:eastAsia="zh-CN"/>
        </w:rPr>
        <w:t>t</w:t>
      </w:r>
      <w:r>
        <w:rPr>
          <w:rFonts w:hint="eastAsia" w:ascii="仿宋" w:hAnsi="仿宋" w:eastAsia="仿宋" w:cs="仿宋"/>
        </w:rPr>
        <w:t>配重）→</w:t>
      </w:r>
      <w:r>
        <w:rPr>
          <w:rFonts w:hint="eastAsia" w:cs="仿宋"/>
          <w:lang w:val="en-US" w:eastAsia="zh-CN"/>
        </w:rPr>
        <w:t>拆除</w:t>
      </w:r>
      <w:r>
        <w:rPr>
          <w:rFonts w:hint="eastAsia" w:ascii="仿宋" w:hAnsi="仿宋" w:eastAsia="仿宋" w:cs="仿宋"/>
        </w:rPr>
        <w:t>起重臂→拆</w:t>
      </w:r>
      <w:r>
        <w:rPr>
          <w:rFonts w:hint="eastAsia" w:cs="仿宋"/>
          <w:lang w:val="en-US" w:eastAsia="zh-CN"/>
        </w:rPr>
        <w:t>除</w:t>
      </w:r>
      <w:r>
        <w:rPr>
          <w:rFonts w:hint="eastAsia" w:ascii="仿宋" w:hAnsi="仿宋" w:eastAsia="仿宋" w:cs="仿宋"/>
        </w:rPr>
        <w:t>剩余配重→</w:t>
      </w:r>
      <w:r>
        <w:rPr>
          <w:rFonts w:hint="eastAsia" w:cs="仿宋"/>
          <w:lang w:val="en-US" w:eastAsia="zh-CN"/>
        </w:rPr>
        <w:t>拆除</w:t>
      </w:r>
      <w:r>
        <w:rPr>
          <w:rFonts w:hint="eastAsia" w:ascii="仿宋" w:hAnsi="仿宋" w:eastAsia="仿宋" w:cs="仿宋"/>
        </w:rPr>
        <w:t>平衡臂→</w:t>
      </w:r>
      <w:r>
        <w:rPr>
          <w:rFonts w:hint="eastAsia" w:cs="仿宋"/>
          <w:lang w:val="en-US" w:eastAsia="zh-CN"/>
        </w:rPr>
        <w:t>拆除</w:t>
      </w:r>
      <w:r>
        <w:rPr>
          <w:rFonts w:hint="eastAsia" w:ascii="仿宋" w:hAnsi="仿宋" w:eastAsia="仿宋" w:cs="仿宋"/>
        </w:rPr>
        <w:t>起重臂根节→</w:t>
      </w:r>
      <w:r>
        <w:rPr>
          <w:rFonts w:hint="eastAsia" w:cs="仿宋"/>
          <w:lang w:val="en-US" w:eastAsia="zh-CN"/>
        </w:rPr>
        <w:t>拆除塔顶</w:t>
      </w:r>
      <w:r>
        <w:rPr>
          <w:rFonts w:hint="eastAsia" w:ascii="仿宋" w:hAnsi="仿宋" w:eastAsia="仿宋" w:cs="仿宋"/>
        </w:rPr>
        <w:t>→</w:t>
      </w:r>
      <w:r>
        <w:rPr>
          <w:rFonts w:hint="eastAsia" w:cs="仿宋"/>
          <w:lang w:val="en-US" w:eastAsia="zh-CN"/>
        </w:rPr>
        <w:t>拆除</w:t>
      </w:r>
      <w:r>
        <w:rPr>
          <w:rFonts w:hint="eastAsia" w:ascii="仿宋" w:hAnsi="仿宋" w:eastAsia="仿宋" w:cs="仿宋"/>
        </w:rPr>
        <w:t>回转总成→</w:t>
      </w:r>
      <w:r>
        <w:rPr>
          <w:rFonts w:hint="eastAsia" w:cs="仿宋"/>
          <w:lang w:val="en-US" w:eastAsia="zh-CN"/>
        </w:rPr>
        <w:t>拆除标准节</w:t>
      </w:r>
      <w:r>
        <w:rPr>
          <w:rFonts w:hint="eastAsia" w:ascii="仿宋" w:hAnsi="仿宋" w:eastAsia="仿宋" w:cs="仿宋"/>
        </w:rPr>
        <w:t>→拆</w:t>
      </w:r>
      <w:r>
        <w:rPr>
          <w:rFonts w:hint="eastAsia" w:cs="仿宋"/>
          <w:lang w:val="en-US" w:eastAsia="zh-CN"/>
        </w:rPr>
        <w:t>除</w:t>
      </w:r>
      <w:r>
        <w:rPr>
          <w:rFonts w:hint="eastAsia" w:ascii="仿宋" w:hAnsi="仿宋" w:eastAsia="仿宋" w:cs="仿宋"/>
        </w:rPr>
        <w:t>爬升架及</w:t>
      </w:r>
      <w:r>
        <w:rPr>
          <w:rFonts w:hint="eastAsia" w:cs="仿宋"/>
          <w:lang w:val="en-US" w:eastAsia="zh-CN"/>
        </w:rPr>
        <w:t>剩余塔身</w:t>
      </w:r>
    </w:p>
    <w:p w14:paraId="400DC1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eastAsia="仿宋"/>
          <w:color w:val="000000"/>
          <w:lang w:eastAsia="zh-CN"/>
        </w:rPr>
      </w:pPr>
      <w:r>
        <w:drawing>
          <wp:inline distT="0" distB="0" distL="114300" distR="114300">
            <wp:extent cx="4479925" cy="7421245"/>
            <wp:effectExtent l="0" t="0" r="15875" b="825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4"/>
                    <a:stretch>
                      <a:fillRect/>
                    </a:stretch>
                  </pic:blipFill>
                  <pic:spPr>
                    <a:xfrm>
                      <a:off x="0" y="0"/>
                      <a:ext cx="4479925" cy="7421245"/>
                    </a:xfrm>
                    <a:prstGeom prst="rect">
                      <a:avLst/>
                    </a:prstGeom>
                    <a:noFill/>
                    <a:ln>
                      <a:noFill/>
                    </a:ln>
                  </pic:spPr>
                </pic:pic>
              </a:graphicData>
            </a:graphic>
          </wp:inline>
        </w:drawing>
      </w:r>
    </w:p>
    <w:p w14:paraId="25EC3BB8">
      <w:pPr>
        <w:pStyle w:val="2"/>
        <w:rPr>
          <w:rFonts w:ascii="仿宋" w:hAnsi="仿宋" w:eastAsia="仿宋"/>
          <w:color w:val="000000"/>
        </w:rPr>
      </w:pPr>
      <w:bookmarkStart w:id="53" w:name="_Toc22401"/>
      <w:r>
        <w:rPr>
          <w:rFonts w:hint="eastAsia" w:ascii="仿宋" w:hAnsi="仿宋" w:eastAsia="仿宋"/>
          <w:color w:val="000000"/>
        </w:rPr>
        <w:t>施工要求</w:t>
      </w:r>
      <w:bookmarkEnd w:id="49"/>
      <w:bookmarkEnd w:id="50"/>
      <w:bookmarkEnd w:id="51"/>
      <w:bookmarkEnd w:id="52"/>
      <w:bookmarkEnd w:id="53"/>
    </w:p>
    <w:p w14:paraId="4785ECEB">
      <w:pPr>
        <w:pStyle w:val="25"/>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560" w:firstLineChars="200"/>
        <w:jc w:val="both"/>
        <w:textAlignment w:val="auto"/>
        <w:rPr>
          <w:rFonts w:hint="eastAsia" w:ascii="仿宋" w:hAnsi="仿宋" w:eastAsia="仿宋"/>
          <w:color w:val="000000"/>
        </w:rPr>
      </w:pPr>
      <w:r>
        <w:rPr>
          <w:rFonts w:hint="eastAsia" w:cs="仿宋"/>
          <w:bCs/>
          <w:color w:val="000000"/>
          <w:kern w:val="2"/>
          <w:sz w:val="28"/>
          <w:szCs w:val="28"/>
          <w:lang w:val="en-US" w:eastAsia="zh-CN" w:bidi="ar-SA"/>
        </w:rPr>
        <w:t>XGT600-25S</w:t>
      </w:r>
      <w:r>
        <w:rPr>
          <w:rFonts w:hint="eastAsia" w:ascii="仿宋" w:hAnsi="仿宋" w:eastAsia="仿宋" w:cs="仿宋"/>
          <w:bCs/>
          <w:color w:val="000000"/>
          <w:kern w:val="2"/>
          <w:sz w:val="28"/>
          <w:szCs w:val="28"/>
          <w:lang w:val="en-US" w:eastAsia="zh-CN" w:bidi="ar-SA"/>
        </w:rPr>
        <w:t>塔吊为</w:t>
      </w:r>
      <w:r>
        <w:rPr>
          <w:rFonts w:hint="eastAsia" w:cs="仿宋"/>
          <w:bCs/>
          <w:color w:val="000000"/>
          <w:kern w:val="2"/>
          <w:sz w:val="28"/>
          <w:szCs w:val="28"/>
          <w:lang w:val="en-US" w:eastAsia="zh-CN" w:bidi="ar-SA"/>
        </w:rPr>
        <w:t>徐工集团徐州建机工程机械有限公司生产的塔式起重机，由加强节</w:t>
      </w:r>
      <w:r>
        <w:rPr>
          <w:rFonts w:hint="eastAsia" w:ascii="仿宋" w:hAnsi="仿宋" w:eastAsia="仿宋" w:cs="仿宋"/>
          <w:bCs/>
          <w:color w:val="000000"/>
          <w:kern w:val="2"/>
          <w:sz w:val="28"/>
          <w:szCs w:val="28"/>
          <w:lang w:val="en-US" w:eastAsia="zh-CN" w:bidi="ar-SA"/>
        </w:rPr>
        <w:t>、标准节、爬升架、回转总成、平衡臂、起重臂等组成。用</w:t>
      </w:r>
      <w:r>
        <w:rPr>
          <w:rFonts w:hint="eastAsia" w:cs="仿宋"/>
          <w:bCs/>
          <w:color w:val="000000"/>
          <w:kern w:val="2"/>
          <w:sz w:val="28"/>
          <w:szCs w:val="28"/>
          <w:lang w:val="en-US" w:eastAsia="zh-CN" w:bidi="ar-SA"/>
        </w:rPr>
        <w:t>100</w:t>
      </w:r>
      <w:r>
        <w:rPr>
          <w:rFonts w:hint="eastAsia" w:ascii="仿宋" w:hAnsi="仿宋" w:eastAsia="仿宋" w:cs="仿宋"/>
          <w:bCs/>
          <w:color w:val="000000"/>
          <w:kern w:val="2"/>
          <w:sz w:val="28"/>
          <w:szCs w:val="28"/>
          <w:lang w:val="en-US" w:eastAsia="zh-CN" w:bidi="ar-SA"/>
        </w:rPr>
        <w:t>t汽车吊拆除。</w:t>
      </w:r>
      <w:r>
        <w:rPr>
          <w:rFonts w:hint="eastAsia" w:cs="仿宋"/>
          <w:bCs/>
          <w:color w:val="000000"/>
          <w:kern w:val="2"/>
          <w:sz w:val="28"/>
          <w:szCs w:val="28"/>
          <w:lang w:val="en-US" w:eastAsia="zh-CN" w:bidi="ar-SA"/>
        </w:rPr>
        <w:t>XGT600-25S</w:t>
      </w:r>
      <w:r>
        <w:rPr>
          <w:rFonts w:hint="eastAsia" w:ascii="仿宋" w:hAnsi="仿宋" w:eastAsia="仿宋" w:cs="仿宋"/>
          <w:bCs/>
          <w:color w:val="000000"/>
          <w:kern w:val="2"/>
          <w:sz w:val="28"/>
          <w:szCs w:val="28"/>
          <w:lang w:val="en-US" w:eastAsia="zh-CN" w:bidi="ar-SA"/>
        </w:rPr>
        <w:t>塔机臂长</w:t>
      </w:r>
      <w:r>
        <w:rPr>
          <w:rFonts w:hint="eastAsia" w:cs="仿宋"/>
          <w:bCs/>
          <w:color w:val="000000"/>
          <w:kern w:val="2"/>
          <w:sz w:val="28"/>
          <w:szCs w:val="28"/>
          <w:lang w:val="en-US" w:eastAsia="zh-CN" w:bidi="ar-SA"/>
        </w:rPr>
        <w:t>50</w:t>
      </w:r>
      <w:r>
        <w:rPr>
          <w:rFonts w:hint="eastAsia" w:ascii="仿宋" w:hAnsi="仿宋" w:eastAsia="仿宋" w:cs="仿宋"/>
          <w:bCs/>
          <w:color w:val="000000"/>
          <w:kern w:val="2"/>
          <w:sz w:val="28"/>
          <w:szCs w:val="28"/>
          <w:lang w:val="en-US" w:eastAsia="zh-CN" w:bidi="ar-SA"/>
        </w:rPr>
        <w:t>m时，在</w:t>
      </w:r>
      <w:r>
        <w:rPr>
          <w:rFonts w:hint="eastAsia" w:cs="仿宋"/>
          <w:bCs/>
          <w:color w:val="000000"/>
          <w:kern w:val="2"/>
          <w:sz w:val="28"/>
          <w:szCs w:val="28"/>
          <w:lang w:val="en-US" w:eastAsia="zh-CN" w:bidi="ar-SA"/>
        </w:rPr>
        <w:t>50</w:t>
      </w:r>
      <w:r>
        <w:rPr>
          <w:rFonts w:hint="eastAsia" w:ascii="仿宋" w:hAnsi="仿宋" w:eastAsia="仿宋" w:cs="仿宋"/>
          <w:bCs/>
          <w:color w:val="000000"/>
          <w:kern w:val="2"/>
          <w:sz w:val="28"/>
          <w:szCs w:val="28"/>
          <w:lang w:val="en-US" w:eastAsia="zh-CN" w:bidi="ar-SA"/>
        </w:rPr>
        <w:t>m范围内最大额定起重量为</w:t>
      </w:r>
      <w:r>
        <w:rPr>
          <w:rFonts w:hint="eastAsia" w:cs="仿宋"/>
          <w:bCs/>
          <w:color w:val="000000"/>
          <w:kern w:val="2"/>
          <w:sz w:val="28"/>
          <w:szCs w:val="28"/>
          <w:lang w:val="en-US" w:eastAsia="zh-CN" w:bidi="ar-SA"/>
        </w:rPr>
        <w:t>25t</w:t>
      </w:r>
      <w:r>
        <w:rPr>
          <w:rFonts w:hint="eastAsia" w:ascii="仿宋" w:hAnsi="仿宋" w:eastAsia="仿宋" w:cs="仿宋"/>
          <w:bCs/>
          <w:color w:val="000000"/>
          <w:kern w:val="2"/>
          <w:sz w:val="28"/>
          <w:szCs w:val="28"/>
          <w:lang w:val="en-US" w:eastAsia="zh-CN" w:bidi="ar-SA"/>
        </w:rPr>
        <w:t>（4倍率），</w:t>
      </w:r>
      <w:r>
        <w:rPr>
          <w:rFonts w:hint="eastAsia" w:cs="仿宋"/>
          <w:bCs/>
          <w:color w:val="000000"/>
          <w:kern w:val="2"/>
          <w:sz w:val="28"/>
          <w:szCs w:val="28"/>
          <w:lang w:val="en-US" w:eastAsia="zh-CN" w:bidi="ar-SA"/>
        </w:rPr>
        <w:t>50</w:t>
      </w:r>
      <w:r>
        <w:rPr>
          <w:rFonts w:hint="eastAsia" w:ascii="仿宋" w:hAnsi="仿宋" w:eastAsia="仿宋" w:cs="仿宋"/>
          <w:bCs/>
          <w:color w:val="000000"/>
          <w:kern w:val="2"/>
          <w:sz w:val="28"/>
          <w:szCs w:val="28"/>
          <w:lang w:val="en-US" w:eastAsia="zh-CN" w:bidi="ar-SA"/>
        </w:rPr>
        <w:t>m臂端起重量</w:t>
      </w:r>
      <w:r>
        <w:rPr>
          <w:rFonts w:hint="eastAsia" w:cs="仿宋"/>
          <w:bCs/>
          <w:color w:val="000000"/>
          <w:kern w:val="2"/>
          <w:sz w:val="28"/>
          <w:szCs w:val="28"/>
          <w:lang w:val="en-US" w:eastAsia="zh-CN" w:bidi="ar-SA"/>
        </w:rPr>
        <w:t>10.5</w:t>
      </w:r>
      <w:r>
        <w:rPr>
          <w:rFonts w:hint="eastAsia" w:ascii="仿宋" w:hAnsi="仿宋" w:eastAsia="仿宋" w:cs="仿宋"/>
          <w:bCs/>
          <w:color w:val="000000"/>
          <w:kern w:val="2"/>
          <w:sz w:val="28"/>
          <w:szCs w:val="28"/>
          <w:lang w:val="en-US" w:eastAsia="zh-CN" w:bidi="ar-SA"/>
        </w:rPr>
        <w:t>t（2倍率）。</w:t>
      </w:r>
      <w:r>
        <w:rPr>
          <w:rFonts w:hint="eastAsia" w:cs="仿宋"/>
          <w:bCs/>
          <w:color w:val="000000"/>
          <w:kern w:val="2"/>
          <w:sz w:val="28"/>
          <w:szCs w:val="28"/>
          <w:lang w:val="en-US" w:eastAsia="zh-CN" w:bidi="ar-SA"/>
        </w:rPr>
        <w:t>4#</w:t>
      </w:r>
      <w:r>
        <w:rPr>
          <w:rFonts w:hint="eastAsia" w:ascii="仿宋" w:hAnsi="仿宋" w:eastAsia="仿宋" w:cs="仿宋"/>
          <w:bCs/>
          <w:color w:val="000000"/>
          <w:kern w:val="2"/>
          <w:sz w:val="28"/>
          <w:szCs w:val="28"/>
          <w:lang w:val="en-US" w:eastAsia="zh-CN" w:bidi="ar-SA"/>
        </w:rPr>
        <w:t>墩塔机</w:t>
      </w:r>
      <w:r>
        <w:rPr>
          <w:rFonts w:hint="eastAsia" w:cs="仿宋"/>
          <w:bCs/>
          <w:color w:val="000000"/>
          <w:kern w:val="2"/>
          <w:sz w:val="28"/>
          <w:szCs w:val="28"/>
          <w:lang w:val="en-US" w:eastAsia="zh-CN" w:bidi="ar-SA"/>
        </w:rPr>
        <w:t>拆除臂长50m，拆除</w:t>
      </w:r>
      <w:r>
        <w:rPr>
          <w:rFonts w:hint="eastAsia" w:ascii="仿宋" w:hAnsi="仿宋" w:eastAsia="仿宋" w:cs="仿宋"/>
          <w:bCs/>
          <w:color w:val="000000"/>
          <w:kern w:val="2"/>
          <w:sz w:val="28"/>
          <w:szCs w:val="28"/>
          <w:lang w:val="en-US" w:eastAsia="zh-CN" w:bidi="ar-SA"/>
        </w:rPr>
        <w:t>高度为</w:t>
      </w:r>
      <w:r>
        <w:rPr>
          <w:rFonts w:hint="eastAsia" w:cs="仿宋"/>
          <w:bCs/>
          <w:color w:val="000000"/>
          <w:kern w:val="2"/>
          <w:sz w:val="28"/>
          <w:szCs w:val="28"/>
          <w:lang w:val="en-US" w:eastAsia="zh-CN" w:bidi="ar-SA"/>
        </w:rPr>
        <w:t>140.2m(2</w:t>
      </w:r>
      <w:r>
        <w:rPr>
          <w:rFonts w:hint="eastAsia" w:ascii="仿宋" w:hAnsi="仿宋" w:eastAsia="仿宋" w:cs="仿宋"/>
          <w:bCs/>
          <w:color w:val="000000"/>
          <w:kern w:val="2"/>
          <w:sz w:val="28"/>
          <w:szCs w:val="28"/>
          <w:lang w:val="en-US" w:eastAsia="zh-CN" w:bidi="ar-SA"/>
        </w:rPr>
        <w:t>个</w:t>
      </w:r>
      <w:r>
        <w:rPr>
          <w:rFonts w:hint="eastAsia" w:cs="仿宋"/>
          <w:bCs/>
          <w:color w:val="000000"/>
          <w:kern w:val="2"/>
          <w:sz w:val="28"/>
          <w:szCs w:val="28"/>
          <w:lang w:val="en-US" w:eastAsia="zh-CN" w:bidi="ar-SA"/>
        </w:rPr>
        <w:t>加强节</w:t>
      </w:r>
      <w:r>
        <w:rPr>
          <w:rFonts w:hint="eastAsia" w:ascii="仿宋" w:hAnsi="仿宋" w:eastAsia="仿宋" w:cs="仿宋"/>
          <w:bCs/>
          <w:color w:val="000000"/>
          <w:kern w:val="2"/>
          <w:sz w:val="28"/>
          <w:szCs w:val="28"/>
          <w:lang w:val="en-US" w:eastAsia="zh-CN" w:bidi="ar-SA"/>
        </w:rPr>
        <w:t>+</w:t>
      </w:r>
      <w:r>
        <w:rPr>
          <w:rFonts w:hint="eastAsia" w:cs="仿宋"/>
          <w:bCs/>
          <w:color w:val="000000"/>
          <w:kern w:val="2"/>
          <w:sz w:val="28"/>
          <w:szCs w:val="28"/>
          <w:lang w:val="en-US" w:eastAsia="zh-CN" w:bidi="ar-SA"/>
        </w:rPr>
        <w:t>21</w:t>
      </w:r>
      <w:r>
        <w:rPr>
          <w:rFonts w:hint="eastAsia" w:ascii="仿宋" w:hAnsi="仿宋" w:eastAsia="仿宋" w:cs="仿宋"/>
          <w:bCs/>
          <w:color w:val="000000"/>
          <w:kern w:val="2"/>
          <w:sz w:val="28"/>
          <w:szCs w:val="28"/>
          <w:lang w:val="en-US" w:eastAsia="zh-CN" w:bidi="ar-SA"/>
        </w:rPr>
        <w:t>个标准节</w:t>
      </w:r>
      <w:r>
        <w:rPr>
          <w:rFonts w:hint="eastAsia" w:cs="仿宋"/>
          <w:bCs/>
          <w:color w:val="000000"/>
          <w:kern w:val="2"/>
          <w:sz w:val="28"/>
          <w:szCs w:val="28"/>
          <w:lang w:val="en-US" w:eastAsia="zh-CN" w:bidi="ar-SA"/>
        </w:rPr>
        <w:t>)，共3道附着。</w:t>
      </w:r>
      <w:bookmarkStart w:id="118" w:name="_GoBack"/>
      <w:bookmarkEnd w:id="118"/>
    </w:p>
    <w:p w14:paraId="653F220D">
      <w:pPr>
        <w:pStyle w:val="3"/>
        <w:rPr>
          <w:color w:val="000000"/>
        </w:rPr>
      </w:pPr>
      <w:bookmarkStart w:id="54" w:name="_Toc30353"/>
      <w:r>
        <w:rPr>
          <w:rFonts w:hint="eastAsia"/>
          <w:color w:val="000000"/>
        </w:rPr>
        <w:t>主要设备选型</w:t>
      </w:r>
      <w:bookmarkEnd w:id="54"/>
    </w:p>
    <w:p w14:paraId="03620173">
      <w:pPr>
        <w:pStyle w:val="4"/>
        <w:rPr>
          <w:rFonts w:hint="eastAsia" w:eastAsia="仿宋"/>
          <w:color w:val="000000"/>
          <w:lang w:eastAsia="zh-CN"/>
        </w:rPr>
      </w:pPr>
      <w:r>
        <w:rPr>
          <w:rFonts w:hint="eastAsia"/>
          <w:color w:val="000000"/>
        </w:rPr>
        <w:t>辅助起重设备选型</w:t>
      </w:r>
    </w:p>
    <w:p w14:paraId="49072B7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eastAsia="仿宋"/>
          <w:b/>
          <w:bCs w:val="0"/>
          <w:color w:val="000000"/>
          <w:lang w:eastAsia="zh-CN"/>
        </w:rPr>
      </w:pPr>
      <w:r>
        <w:rPr>
          <w:rFonts w:hint="eastAsia" w:eastAsia="仿宋"/>
          <w:b/>
          <w:bCs w:val="0"/>
          <w:color w:val="000000"/>
          <w:lang w:eastAsia="zh-CN"/>
        </w:rPr>
        <w:drawing>
          <wp:inline distT="0" distB="0" distL="114300" distR="114300">
            <wp:extent cx="2711450" cy="4820920"/>
            <wp:effectExtent l="0" t="0" r="12700" b="17780"/>
            <wp:docPr id="3" name="图片 3" descr="a353269f29dade32d893258332a3db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353269f29dade32d893258332a3db06"/>
                    <pic:cNvPicPr>
                      <a:picLocks noChangeAspect="1"/>
                    </pic:cNvPicPr>
                  </pic:nvPicPr>
                  <pic:blipFill>
                    <a:blip r:embed="rId15"/>
                    <a:stretch>
                      <a:fillRect/>
                    </a:stretch>
                  </pic:blipFill>
                  <pic:spPr>
                    <a:xfrm>
                      <a:off x="0" y="0"/>
                      <a:ext cx="2711450" cy="4820920"/>
                    </a:xfrm>
                    <a:prstGeom prst="rect">
                      <a:avLst/>
                    </a:prstGeom>
                  </pic:spPr>
                </pic:pic>
              </a:graphicData>
            </a:graphic>
          </wp:inline>
        </w:drawing>
      </w:r>
    </w:p>
    <w:p w14:paraId="48C5A655">
      <w:pPr>
        <w:spacing w:line="240" w:lineRule="auto"/>
        <w:jc w:val="left"/>
        <w:rPr>
          <w:color w:val="000000"/>
        </w:rPr>
      </w:pPr>
      <w:r>
        <w:rPr>
          <w:rFonts w:hint="eastAsia"/>
          <w:color w:val="000000"/>
          <w:lang w:val="en-US" w:eastAsia="zh-CN"/>
        </w:rPr>
        <w:t>4#</w:t>
      </w:r>
      <w:r>
        <w:rPr>
          <w:rFonts w:hint="eastAsia"/>
          <w:color w:val="000000"/>
        </w:rPr>
        <w:t>塔</w:t>
      </w:r>
      <w:r>
        <w:rPr>
          <w:rFonts w:hint="eastAsia" w:cs="仿宋"/>
          <w:bCs/>
          <w:color w:val="000000"/>
          <w:kern w:val="2"/>
          <w:sz w:val="28"/>
          <w:szCs w:val="28"/>
          <w:lang w:val="en-US" w:eastAsia="zh-CN" w:bidi="ar-SA"/>
        </w:rPr>
        <w:t>拆除</w:t>
      </w:r>
      <w:r>
        <w:rPr>
          <w:rFonts w:hint="eastAsia" w:ascii="仿宋" w:hAnsi="仿宋" w:eastAsia="仿宋" w:cs="仿宋"/>
          <w:bCs/>
          <w:color w:val="000000"/>
          <w:kern w:val="2"/>
          <w:sz w:val="28"/>
          <w:szCs w:val="28"/>
          <w:lang w:val="en-US" w:eastAsia="zh-CN" w:bidi="ar-SA"/>
        </w:rPr>
        <w:t>高度为</w:t>
      </w:r>
      <w:r>
        <w:rPr>
          <w:rFonts w:hint="eastAsia" w:cs="仿宋"/>
          <w:bCs/>
          <w:color w:val="000000"/>
          <w:kern w:val="2"/>
          <w:sz w:val="28"/>
          <w:szCs w:val="28"/>
          <w:lang w:val="en-US" w:eastAsia="zh-CN" w:bidi="ar-SA"/>
        </w:rPr>
        <w:t>140.2m(2</w:t>
      </w:r>
      <w:r>
        <w:rPr>
          <w:rFonts w:hint="eastAsia" w:ascii="仿宋" w:hAnsi="仿宋" w:eastAsia="仿宋" w:cs="仿宋"/>
          <w:bCs/>
          <w:color w:val="000000"/>
          <w:kern w:val="2"/>
          <w:sz w:val="28"/>
          <w:szCs w:val="28"/>
          <w:lang w:val="en-US" w:eastAsia="zh-CN" w:bidi="ar-SA"/>
        </w:rPr>
        <w:t>个</w:t>
      </w:r>
      <w:r>
        <w:rPr>
          <w:rFonts w:hint="eastAsia" w:cs="仿宋"/>
          <w:bCs/>
          <w:color w:val="000000"/>
          <w:kern w:val="2"/>
          <w:sz w:val="28"/>
          <w:szCs w:val="28"/>
          <w:lang w:val="en-US" w:eastAsia="zh-CN" w:bidi="ar-SA"/>
        </w:rPr>
        <w:t>加强节</w:t>
      </w:r>
      <w:r>
        <w:rPr>
          <w:rFonts w:hint="eastAsia" w:ascii="仿宋" w:hAnsi="仿宋" w:eastAsia="仿宋" w:cs="仿宋"/>
          <w:bCs/>
          <w:color w:val="000000"/>
          <w:kern w:val="2"/>
          <w:sz w:val="28"/>
          <w:szCs w:val="28"/>
          <w:lang w:val="en-US" w:eastAsia="zh-CN" w:bidi="ar-SA"/>
        </w:rPr>
        <w:t>+</w:t>
      </w:r>
      <w:r>
        <w:rPr>
          <w:rFonts w:hint="eastAsia" w:cs="仿宋"/>
          <w:bCs/>
          <w:color w:val="000000"/>
          <w:kern w:val="2"/>
          <w:sz w:val="28"/>
          <w:szCs w:val="28"/>
          <w:lang w:val="en-US" w:eastAsia="zh-CN" w:bidi="ar-SA"/>
        </w:rPr>
        <w:t>21</w:t>
      </w:r>
      <w:r>
        <w:rPr>
          <w:rFonts w:hint="eastAsia" w:ascii="仿宋" w:hAnsi="仿宋" w:eastAsia="仿宋" w:cs="仿宋"/>
          <w:bCs/>
          <w:color w:val="000000"/>
          <w:kern w:val="2"/>
          <w:sz w:val="28"/>
          <w:szCs w:val="28"/>
          <w:lang w:val="en-US" w:eastAsia="zh-CN" w:bidi="ar-SA"/>
        </w:rPr>
        <w:t>个标准节</w:t>
      </w:r>
      <w:r>
        <w:rPr>
          <w:rFonts w:hint="eastAsia" w:cs="仿宋"/>
          <w:bCs/>
          <w:color w:val="000000"/>
          <w:kern w:val="2"/>
          <w:sz w:val="28"/>
          <w:szCs w:val="28"/>
          <w:lang w:val="en-US" w:eastAsia="zh-CN" w:bidi="ar-SA"/>
        </w:rPr>
        <w:t>)</w:t>
      </w:r>
      <w:r>
        <w:rPr>
          <w:rFonts w:hint="eastAsia"/>
          <w:color w:val="000000"/>
        </w:rPr>
        <w:t>,降节后汽车吊拆除高度</w:t>
      </w:r>
      <w:r>
        <w:rPr>
          <w:rFonts w:hint="eastAsia"/>
          <w:color w:val="000000"/>
          <w:lang w:val="en-US" w:eastAsia="zh-CN"/>
        </w:rPr>
        <w:t>21.2</w:t>
      </w:r>
      <w:r>
        <w:rPr>
          <w:rFonts w:hint="eastAsia"/>
          <w:color w:val="000000"/>
        </w:rPr>
        <w:t>m(</w:t>
      </w:r>
      <w:r>
        <w:rPr>
          <w:rFonts w:hint="eastAsia"/>
          <w:color w:val="000000"/>
          <w:lang w:val="en-US" w:eastAsia="zh-CN"/>
        </w:rPr>
        <w:t>2</w:t>
      </w:r>
      <w:r>
        <w:rPr>
          <w:rFonts w:hint="eastAsia"/>
          <w:color w:val="000000"/>
        </w:rPr>
        <w:t>个</w:t>
      </w:r>
      <w:r>
        <w:rPr>
          <w:rFonts w:hint="eastAsia"/>
          <w:color w:val="000000"/>
          <w:lang w:eastAsia="zh-CN"/>
        </w:rPr>
        <w:t>加强节</w:t>
      </w:r>
      <w:r>
        <w:rPr>
          <w:rFonts w:hint="eastAsia"/>
          <w:color w:val="000000"/>
        </w:rPr>
        <w:t>+</w:t>
      </w:r>
      <w:r>
        <w:rPr>
          <w:rFonts w:hint="eastAsia"/>
          <w:color w:val="000000"/>
          <w:lang w:val="en-US" w:eastAsia="zh-CN"/>
        </w:rPr>
        <w:t>1</w:t>
      </w:r>
      <w:r>
        <w:rPr>
          <w:rFonts w:hint="eastAsia"/>
          <w:color w:val="000000"/>
        </w:rPr>
        <w:t>个标准节)。</w:t>
      </w:r>
    </w:p>
    <w:p w14:paraId="5ABB0755">
      <w:pPr>
        <w:pStyle w:val="10"/>
        <w:spacing w:line="240" w:lineRule="auto"/>
        <w:ind w:firstLine="0" w:firstLineChars="0"/>
        <w:jc w:val="center"/>
        <w:rPr>
          <w:rFonts w:hint="eastAsia"/>
          <w:color w:val="000000"/>
        </w:rPr>
      </w:pPr>
      <w:r>
        <w:drawing>
          <wp:inline distT="0" distB="0" distL="114300" distR="114300">
            <wp:extent cx="5932805" cy="3077845"/>
            <wp:effectExtent l="0" t="0" r="10795" b="825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6"/>
                    <a:stretch>
                      <a:fillRect/>
                    </a:stretch>
                  </pic:blipFill>
                  <pic:spPr>
                    <a:xfrm>
                      <a:off x="0" y="0"/>
                      <a:ext cx="5932805" cy="3077845"/>
                    </a:xfrm>
                    <a:prstGeom prst="rect">
                      <a:avLst/>
                    </a:prstGeom>
                    <a:noFill/>
                    <a:ln>
                      <a:noFill/>
                    </a:ln>
                  </pic:spPr>
                </pic:pic>
              </a:graphicData>
            </a:graphic>
          </wp:inline>
        </w:drawing>
      </w:r>
    </w:p>
    <w:p w14:paraId="2ECD4B2F">
      <w:pPr>
        <w:spacing w:line="240" w:lineRule="auto"/>
        <w:jc w:val="left"/>
        <w:rPr>
          <w:rFonts w:hint="default"/>
          <w:color w:val="000000"/>
          <w:lang w:val="en-US" w:eastAsia="zh-CN"/>
        </w:rPr>
      </w:pPr>
      <w:r>
        <w:rPr>
          <w:rFonts w:hint="eastAsia"/>
          <w:color w:val="000000"/>
        </w:rPr>
        <w:t>根据</w:t>
      </w:r>
      <w:r>
        <w:rPr>
          <w:rFonts w:hint="eastAsia"/>
          <w:color w:val="000000"/>
          <w:lang w:val="en-US" w:eastAsia="zh-CN"/>
        </w:rPr>
        <w:t>徐工</w:t>
      </w:r>
      <w:r>
        <w:rPr>
          <w:rFonts w:hint="eastAsia"/>
          <w:color w:val="000000"/>
          <w:lang w:eastAsia="zh-CN"/>
        </w:rPr>
        <w:t>XGT600-25S</w:t>
      </w:r>
      <w:r>
        <w:rPr>
          <w:rFonts w:hint="eastAsia"/>
          <w:color w:val="000000"/>
        </w:rPr>
        <w:t>说明书，当拆除高度为</w:t>
      </w:r>
      <w:r>
        <w:rPr>
          <w:rFonts w:hint="eastAsia"/>
          <w:color w:val="000000"/>
          <w:lang w:val="en-US" w:eastAsia="zh-CN"/>
        </w:rPr>
        <w:t>21.2</w:t>
      </w:r>
      <w:r>
        <w:rPr>
          <w:rFonts w:hint="eastAsia"/>
          <w:color w:val="000000"/>
        </w:rPr>
        <w:t>m（</w:t>
      </w:r>
      <w:r>
        <w:rPr>
          <w:rFonts w:hint="eastAsia"/>
          <w:color w:val="000000"/>
          <w:lang w:val="en-US" w:eastAsia="zh-CN"/>
        </w:rPr>
        <w:t>2</w:t>
      </w:r>
      <w:r>
        <w:rPr>
          <w:rFonts w:hint="eastAsia"/>
          <w:color w:val="000000"/>
        </w:rPr>
        <w:t>个</w:t>
      </w:r>
      <w:r>
        <w:rPr>
          <w:rFonts w:hint="eastAsia"/>
          <w:color w:val="000000"/>
          <w:lang w:eastAsia="zh-CN"/>
        </w:rPr>
        <w:t>加强节</w:t>
      </w:r>
      <w:r>
        <w:rPr>
          <w:rFonts w:hint="eastAsia"/>
          <w:color w:val="000000"/>
        </w:rPr>
        <w:t>+</w:t>
      </w:r>
      <w:r>
        <w:rPr>
          <w:rFonts w:hint="eastAsia"/>
          <w:color w:val="000000"/>
          <w:lang w:val="en-US" w:eastAsia="zh-CN"/>
        </w:rPr>
        <w:t>1</w:t>
      </w:r>
      <w:r>
        <w:rPr>
          <w:rFonts w:hint="eastAsia"/>
          <w:color w:val="000000"/>
        </w:rPr>
        <w:t>个标准节）时，</w:t>
      </w:r>
      <w:r>
        <w:rPr>
          <w:rFonts w:hint="eastAsia"/>
          <w:color w:val="000000"/>
          <w:lang w:val="en-US" w:eastAsia="zh-CN"/>
        </w:rPr>
        <w:t>最重拆除部件为回转总成，拆除</w:t>
      </w:r>
      <w:r>
        <w:rPr>
          <w:rFonts w:hint="eastAsia"/>
          <w:color w:val="000000"/>
        </w:rPr>
        <w:t>高度</w:t>
      </w:r>
      <w:r>
        <w:rPr>
          <w:rFonts w:hint="eastAsia"/>
          <w:color w:val="000000"/>
          <w:lang w:val="en-US" w:eastAsia="zh-CN"/>
        </w:rPr>
        <w:t>为20.4</w:t>
      </w:r>
      <w:r>
        <w:rPr>
          <w:rFonts w:hint="eastAsia"/>
          <w:color w:val="000000"/>
        </w:rPr>
        <w:t>m。</w:t>
      </w:r>
      <w:r>
        <w:rPr>
          <w:rFonts w:hint="eastAsia"/>
          <w:color w:val="000000"/>
          <w:lang w:val="en-US" w:eastAsia="zh-CN"/>
        </w:rPr>
        <w:t>另4#墩钢结构基础顶面较汽车吊站位处高0.2m。</w:t>
      </w:r>
    </w:p>
    <w:p w14:paraId="6A0C15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lang w:eastAsia="zh-CN"/>
        </w:rPr>
      </w:pPr>
      <w:r>
        <w:drawing>
          <wp:inline distT="0" distB="0" distL="114300" distR="114300">
            <wp:extent cx="5937250" cy="2326005"/>
            <wp:effectExtent l="0" t="0" r="6350" b="1714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7"/>
                    <a:stretch>
                      <a:fillRect/>
                    </a:stretch>
                  </pic:blipFill>
                  <pic:spPr>
                    <a:xfrm>
                      <a:off x="0" y="0"/>
                      <a:ext cx="5937250" cy="2326005"/>
                    </a:xfrm>
                    <a:prstGeom prst="rect">
                      <a:avLst/>
                    </a:prstGeom>
                    <a:noFill/>
                    <a:ln>
                      <a:noFill/>
                    </a:ln>
                  </pic:spPr>
                </pic:pic>
              </a:graphicData>
            </a:graphic>
          </wp:inline>
        </w:drawing>
      </w:r>
    </w:p>
    <w:p w14:paraId="19DC7134">
      <w:pPr>
        <w:spacing w:line="240" w:lineRule="auto"/>
        <w:jc w:val="left"/>
        <w:rPr>
          <w:rFonts w:hint="eastAsia" w:eastAsia="仿宋"/>
          <w:color w:val="000000"/>
          <w:lang w:eastAsia="zh-CN"/>
        </w:rPr>
      </w:pPr>
      <w:r>
        <w:rPr>
          <w:rFonts w:hint="eastAsia"/>
          <w:color w:val="000000"/>
        </w:rPr>
        <w:t>故实际拆除高度</w:t>
      </w:r>
      <w:r>
        <w:rPr>
          <w:rFonts w:hint="eastAsia"/>
          <w:color w:val="000000"/>
          <w:lang w:val="en-US" w:eastAsia="zh-CN"/>
        </w:rPr>
        <w:t>21.4</w:t>
      </w:r>
      <w:r>
        <w:rPr>
          <w:rFonts w:hint="eastAsia"/>
          <w:color w:val="000000"/>
        </w:rPr>
        <w:t>m（</w:t>
      </w:r>
      <w:r>
        <w:rPr>
          <w:rFonts w:hint="eastAsia"/>
          <w:color w:val="000000"/>
          <w:lang w:val="en-US" w:eastAsia="zh-CN"/>
        </w:rPr>
        <w:t>21.2</w:t>
      </w:r>
      <w:r>
        <w:rPr>
          <w:rFonts w:hint="eastAsia"/>
          <w:color w:val="000000"/>
        </w:rPr>
        <w:t>m</w:t>
      </w:r>
      <w:r>
        <w:rPr>
          <w:rFonts w:hint="eastAsia"/>
          <w:color w:val="000000"/>
          <w:lang w:val="en-US" w:eastAsia="zh-CN"/>
        </w:rPr>
        <w:t>+0.2m</w:t>
      </w:r>
      <w:r>
        <w:rPr>
          <w:rFonts w:hint="eastAsia"/>
          <w:color w:val="000000"/>
        </w:rPr>
        <w:t>）。</w:t>
      </w:r>
    </w:p>
    <w:p w14:paraId="53D8F794">
      <w:pPr>
        <w:spacing w:line="240" w:lineRule="auto"/>
        <w:jc w:val="left"/>
        <w:rPr>
          <w:color w:val="000000"/>
          <w:highlight w:val="none"/>
        </w:rPr>
      </w:pPr>
      <w:r>
        <w:rPr>
          <w:rFonts w:hint="eastAsia"/>
          <w:color w:val="000000"/>
          <w:highlight w:val="none"/>
        </w:rPr>
        <w:t>选择</w:t>
      </w:r>
      <w:r>
        <w:rPr>
          <w:rFonts w:hint="eastAsia"/>
          <w:color w:val="000000"/>
          <w:highlight w:val="none"/>
          <w:lang w:val="en-US" w:eastAsia="zh-CN"/>
        </w:rPr>
        <w:t>100</w:t>
      </w:r>
      <w:r>
        <w:rPr>
          <w:rFonts w:hint="eastAsia"/>
          <w:color w:val="000000"/>
          <w:highlight w:val="none"/>
          <w:lang w:eastAsia="zh-CN"/>
        </w:rPr>
        <w:t>T</w:t>
      </w:r>
      <w:r>
        <w:rPr>
          <w:rFonts w:hint="eastAsia"/>
          <w:color w:val="000000"/>
          <w:highlight w:val="none"/>
        </w:rPr>
        <w:t>汽车吊拆除</w:t>
      </w:r>
      <w:r>
        <w:rPr>
          <w:rFonts w:hint="eastAsia"/>
          <w:color w:val="000000"/>
          <w:highlight w:val="none"/>
          <w:lang w:eastAsia="zh-CN"/>
        </w:rPr>
        <w:t>，</w:t>
      </w:r>
      <w:r>
        <w:rPr>
          <w:rFonts w:hint="eastAsia"/>
          <w:color w:val="000000"/>
          <w:highlight w:val="none"/>
          <w:lang w:val="en-US" w:eastAsia="zh-CN"/>
        </w:rPr>
        <w:t>拆除附着时，吊幅为12</w:t>
      </w:r>
      <w:r>
        <w:rPr>
          <w:rFonts w:hint="eastAsia"/>
          <w:color w:val="000000"/>
          <w:highlight w:val="none"/>
        </w:rPr>
        <w:t>米，其主臂长度为</w:t>
      </w:r>
      <w:r>
        <w:rPr>
          <w:rFonts w:hint="eastAsia"/>
          <w:color w:val="000000"/>
          <w:highlight w:val="none"/>
          <w:lang w:val="en-US" w:eastAsia="zh-CN"/>
        </w:rPr>
        <w:t>50.5</w:t>
      </w:r>
      <w:r>
        <w:rPr>
          <w:rFonts w:hint="eastAsia"/>
          <w:color w:val="000000"/>
          <w:highlight w:val="none"/>
        </w:rPr>
        <w:t>m，起升高度约</w:t>
      </w:r>
      <w:r>
        <w:rPr>
          <w:rFonts w:hint="eastAsia"/>
          <w:color w:val="000000"/>
          <w:highlight w:val="none"/>
          <w:lang w:val="en-US" w:eastAsia="zh-CN"/>
        </w:rPr>
        <w:t>50</w:t>
      </w:r>
      <w:r>
        <w:rPr>
          <w:rFonts w:hint="eastAsia"/>
          <w:color w:val="000000"/>
          <w:highlight w:val="none"/>
        </w:rPr>
        <w:t>m，吊重为</w:t>
      </w:r>
      <w:r>
        <w:rPr>
          <w:rFonts w:hint="eastAsia"/>
          <w:color w:val="000000"/>
          <w:highlight w:val="none"/>
          <w:lang w:val="en-US" w:eastAsia="zh-CN"/>
        </w:rPr>
        <w:t>16.5</w:t>
      </w:r>
      <w:r>
        <w:rPr>
          <w:rFonts w:hint="eastAsia"/>
          <w:color w:val="000000"/>
          <w:highlight w:val="none"/>
        </w:rPr>
        <w:t>t、拆除高度</w:t>
      </w:r>
      <w:r>
        <w:rPr>
          <w:rFonts w:hint="eastAsia"/>
          <w:color w:val="000000"/>
          <w:highlight w:val="none"/>
          <w:lang w:val="en-US" w:eastAsia="zh-CN"/>
        </w:rPr>
        <w:t>50</w:t>
      </w:r>
      <w:r>
        <w:rPr>
          <w:rFonts w:hint="eastAsia"/>
          <w:color w:val="000000"/>
          <w:highlight w:val="none"/>
        </w:rPr>
        <w:t>m＞</w:t>
      </w:r>
      <w:r>
        <w:rPr>
          <w:rFonts w:hint="eastAsia"/>
          <w:color w:val="000000"/>
          <w:highlight w:val="none"/>
          <w:lang w:val="en-US" w:eastAsia="zh-CN"/>
        </w:rPr>
        <w:t>43.4</w:t>
      </w:r>
      <w:r>
        <w:rPr>
          <w:rFonts w:hint="eastAsia"/>
          <w:color w:val="000000"/>
          <w:highlight w:val="none"/>
        </w:rPr>
        <w:t>m满足要求</w:t>
      </w:r>
      <w:r>
        <w:rPr>
          <w:rFonts w:hint="eastAsia"/>
          <w:color w:val="000000"/>
          <w:highlight w:val="none"/>
          <w:lang w:eastAsia="zh-CN"/>
        </w:rPr>
        <w:t>；</w:t>
      </w:r>
      <w:r>
        <w:rPr>
          <w:rFonts w:hint="eastAsia"/>
          <w:color w:val="000000"/>
          <w:highlight w:val="none"/>
          <w:lang w:val="en-US" w:eastAsia="zh-CN"/>
        </w:rPr>
        <w:t>拆除上部结构时，吊幅为18</w:t>
      </w:r>
      <w:r>
        <w:rPr>
          <w:rFonts w:hint="eastAsia"/>
          <w:color w:val="000000"/>
          <w:highlight w:val="none"/>
        </w:rPr>
        <w:t>米，其主臂长度为</w:t>
      </w:r>
      <w:r>
        <w:rPr>
          <w:rFonts w:hint="eastAsia"/>
          <w:color w:val="000000"/>
          <w:highlight w:val="none"/>
          <w:lang w:val="en-US" w:eastAsia="zh-CN"/>
        </w:rPr>
        <w:t>43.5</w:t>
      </w:r>
      <w:r>
        <w:rPr>
          <w:rFonts w:hint="eastAsia"/>
          <w:color w:val="000000"/>
          <w:highlight w:val="none"/>
        </w:rPr>
        <w:t>m，起升高度约</w:t>
      </w:r>
      <w:r>
        <w:rPr>
          <w:rFonts w:hint="eastAsia"/>
          <w:color w:val="000000"/>
          <w:highlight w:val="none"/>
          <w:lang w:val="en-US" w:eastAsia="zh-CN"/>
        </w:rPr>
        <w:t>40</w:t>
      </w:r>
      <w:r>
        <w:rPr>
          <w:rFonts w:hint="eastAsia"/>
          <w:color w:val="000000"/>
          <w:highlight w:val="none"/>
        </w:rPr>
        <w:t>m，吊重为</w:t>
      </w:r>
      <w:r>
        <w:rPr>
          <w:rFonts w:hint="eastAsia"/>
          <w:color w:val="000000"/>
          <w:highlight w:val="none"/>
          <w:lang w:val="en-US" w:eastAsia="zh-CN"/>
        </w:rPr>
        <w:t>15</w:t>
      </w:r>
      <w:r>
        <w:rPr>
          <w:rFonts w:hint="eastAsia"/>
          <w:color w:val="000000"/>
          <w:highlight w:val="none"/>
        </w:rPr>
        <w:t>t、拆除高度</w:t>
      </w:r>
      <w:r>
        <w:rPr>
          <w:rFonts w:hint="eastAsia"/>
          <w:color w:val="000000"/>
          <w:highlight w:val="none"/>
          <w:lang w:val="en-US" w:eastAsia="zh-CN"/>
        </w:rPr>
        <w:t>40</w:t>
      </w:r>
      <w:r>
        <w:rPr>
          <w:rFonts w:hint="eastAsia"/>
          <w:color w:val="000000"/>
          <w:highlight w:val="none"/>
        </w:rPr>
        <w:t>m＞</w:t>
      </w:r>
      <w:r>
        <w:rPr>
          <w:rFonts w:hint="eastAsia"/>
          <w:color w:val="000000"/>
          <w:highlight w:val="none"/>
          <w:lang w:val="en-US" w:eastAsia="zh-CN"/>
        </w:rPr>
        <w:t>21.2</w:t>
      </w:r>
      <w:r>
        <w:rPr>
          <w:rFonts w:hint="eastAsia"/>
          <w:color w:val="000000"/>
          <w:highlight w:val="none"/>
        </w:rPr>
        <w:t>m满足要求</w:t>
      </w:r>
      <w:r>
        <w:rPr>
          <w:rFonts w:hint="eastAsia"/>
          <w:color w:val="000000"/>
          <w:highlight w:val="none"/>
          <w:lang w:eastAsia="zh-CN"/>
        </w:rPr>
        <w:t>；</w:t>
      </w:r>
      <w:r>
        <w:rPr>
          <w:rFonts w:hint="eastAsia"/>
          <w:color w:val="000000"/>
          <w:highlight w:val="none"/>
          <w:lang w:val="en-US" w:eastAsia="zh-CN"/>
        </w:rPr>
        <w:t>拆除塔身时，吊幅为12</w:t>
      </w:r>
      <w:r>
        <w:rPr>
          <w:rFonts w:hint="eastAsia"/>
          <w:color w:val="000000"/>
          <w:highlight w:val="none"/>
        </w:rPr>
        <w:t>米，其主臂长度为</w:t>
      </w:r>
      <w:r>
        <w:rPr>
          <w:rFonts w:hint="eastAsia"/>
          <w:color w:val="000000"/>
          <w:highlight w:val="none"/>
          <w:lang w:val="en-US" w:eastAsia="zh-CN"/>
        </w:rPr>
        <w:t>43.5</w:t>
      </w:r>
      <w:r>
        <w:rPr>
          <w:rFonts w:hint="eastAsia"/>
          <w:color w:val="000000"/>
          <w:highlight w:val="none"/>
        </w:rPr>
        <w:t>m，起升高度约</w:t>
      </w:r>
      <w:r>
        <w:rPr>
          <w:rFonts w:hint="eastAsia"/>
          <w:color w:val="000000"/>
          <w:highlight w:val="none"/>
          <w:lang w:val="en-US" w:eastAsia="zh-CN"/>
        </w:rPr>
        <w:t>43</w:t>
      </w:r>
      <w:r>
        <w:rPr>
          <w:rFonts w:hint="eastAsia"/>
          <w:color w:val="000000"/>
          <w:highlight w:val="none"/>
        </w:rPr>
        <w:t>m，吊重为</w:t>
      </w:r>
      <w:r>
        <w:rPr>
          <w:rFonts w:hint="eastAsia"/>
          <w:color w:val="000000"/>
          <w:highlight w:val="none"/>
          <w:lang w:val="en-US" w:eastAsia="zh-CN"/>
        </w:rPr>
        <w:t>23</w:t>
      </w:r>
      <w:r>
        <w:rPr>
          <w:rFonts w:hint="eastAsia"/>
          <w:color w:val="000000"/>
          <w:highlight w:val="none"/>
        </w:rPr>
        <w:t>t、拆除高度</w:t>
      </w:r>
      <w:r>
        <w:rPr>
          <w:rFonts w:hint="eastAsia"/>
          <w:color w:val="000000"/>
          <w:highlight w:val="none"/>
          <w:lang w:val="en-US" w:eastAsia="zh-CN"/>
        </w:rPr>
        <w:t>43</w:t>
      </w:r>
      <w:r>
        <w:rPr>
          <w:rFonts w:hint="eastAsia"/>
          <w:color w:val="000000"/>
          <w:highlight w:val="none"/>
        </w:rPr>
        <w:t>m＞</w:t>
      </w:r>
      <w:r>
        <w:rPr>
          <w:rFonts w:hint="eastAsia"/>
          <w:color w:val="000000"/>
          <w:highlight w:val="none"/>
          <w:lang w:val="en-US" w:eastAsia="zh-CN"/>
        </w:rPr>
        <w:t>21.2</w:t>
      </w:r>
      <w:r>
        <w:rPr>
          <w:rFonts w:hint="eastAsia"/>
          <w:color w:val="000000"/>
          <w:highlight w:val="none"/>
        </w:rPr>
        <w:t>m满足要求。</w:t>
      </w:r>
    </w:p>
    <w:p w14:paraId="6F8647CE">
      <w:pPr>
        <w:pStyle w:val="12"/>
        <w:ind w:firstLine="560"/>
        <w:rPr>
          <w:rFonts w:ascii="仿宋" w:hAnsi="仿宋" w:eastAsia="仿宋"/>
          <w:color w:val="000000"/>
        </w:rPr>
      </w:pPr>
      <w:r>
        <w:rPr>
          <w:rFonts w:hint="eastAsia" w:ascii="仿宋" w:hAnsi="仿宋" w:eastAsia="仿宋"/>
          <w:color w:val="000000"/>
        </w:rPr>
        <w:t xml:space="preserve">表 </w:t>
      </w:r>
      <w:r>
        <w:rPr>
          <w:rFonts w:hint="eastAsia" w:ascii="仿宋" w:hAnsi="仿宋" w:eastAsia="仿宋"/>
          <w:color w:val="000000"/>
        </w:rPr>
        <w:fldChar w:fldCharType="begin"/>
      </w:r>
      <w:r>
        <w:rPr>
          <w:rFonts w:hint="eastAsia" w:ascii="仿宋" w:hAnsi="仿宋" w:eastAsia="仿宋"/>
          <w:color w:val="000000"/>
        </w:rPr>
        <w:instrText xml:space="preserve"> STYLEREF 2 \s </w:instrText>
      </w:r>
      <w:r>
        <w:rPr>
          <w:rFonts w:hint="eastAsia" w:ascii="仿宋" w:hAnsi="仿宋" w:eastAsia="仿宋"/>
          <w:color w:val="000000"/>
        </w:rPr>
        <w:fldChar w:fldCharType="separate"/>
      </w:r>
      <w:r>
        <w:rPr>
          <w:rFonts w:hint="eastAsia" w:ascii="仿宋" w:hAnsi="仿宋" w:eastAsia="仿宋"/>
          <w:color w:val="000000"/>
        </w:rPr>
        <w:t>5.1</w:t>
      </w:r>
      <w:r>
        <w:rPr>
          <w:rFonts w:hint="eastAsia" w:ascii="仿宋" w:hAnsi="仿宋" w:eastAsia="仿宋"/>
          <w:color w:val="000000"/>
        </w:rPr>
        <w:fldChar w:fldCharType="end"/>
      </w:r>
      <w:r>
        <w:rPr>
          <w:rFonts w:hint="eastAsia" w:ascii="仿宋" w:hAnsi="仿宋" w:eastAsia="仿宋"/>
          <w:color w:val="000000"/>
        </w:rPr>
        <w:t>-</w:t>
      </w:r>
      <w:r>
        <w:rPr>
          <w:rFonts w:hint="eastAsia" w:ascii="仿宋" w:hAnsi="仿宋" w:eastAsia="仿宋"/>
          <w:color w:val="000000"/>
        </w:rPr>
        <w:fldChar w:fldCharType="begin"/>
      </w:r>
      <w:r>
        <w:rPr>
          <w:rFonts w:hint="eastAsia" w:ascii="仿宋" w:hAnsi="仿宋" w:eastAsia="仿宋"/>
          <w:color w:val="000000"/>
        </w:rPr>
        <w:instrText xml:space="preserve"> SEQ 表 \* ARABIC \s 2 </w:instrText>
      </w:r>
      <w:r>
        <w:rPr>
          <w:rFonts w:hint="eastAsia" w:ascii="仿宋" w:hAnsi="仿宋" w:eastAsia="仿宋"/>
          <w:color w:val="000000"/>
        </w:rPr>
        <w:fldChar w:fldCharType="separate"/>
      </w:r>
      <w:r>
        <w:rPr>
          <w:rFonts w:hint="eastAsia" w:ascii="仿宋" w:hAnsi="仿宋" w:eastAsia="仿宋"/>
          <w:color w:val="000000"/>
        </w:rPr>
        <w:t>1</w:t>
      </w:r>
      <w:r>
        <w:rPr>
          <w:rFonts w:hint="eastAsia" w:ascii="仿宋" w:hAnsi="仿宋" w:eastAsia="仿宋"/>
          <w:color w:val="000000"/>
        </w:rPr>
        <w:fldChar w:fldCharType="end"/>
      </w:r>
      <w:r>
        <w:rPr>
          <w:rFonts w:hint="eastAsia" w:ascii="仿宋" w:hAnsi="仿宋" w:eastAsia="仿宋"/>
          <w:color w:val="000000"/>
        </w:rPr>
        <w:t xml:space="preserve"> </w:t>
      </w:r>
      <w:r>
        <w:rPr>
          <w:rFonts w:hint="eastAsia" w:ascii="仿宋" w:hAnsi="仿宋" w:eastAsia="仿宋"/>
          <w:color w:val="000000"/>
          <w:lang w:val="en-US" w:eastAsia="zh-CN"/>
        </w:rPr>
        <w:t>100</w:t>
      </w:r>
      <w:r>
        <w:rPr>
          <w:rFonts w:hint="eastAsia" w:ascii="仿宋" w:hAnsi="仿宋" w:eastAsia="仿宋"/>
          <w:color w:val="000000"/>
          <w:lang w:eastAsia="zh-CN"/>
        </w:rPr>
        <w:t>T</w:t>
      </w:r>
      <w:r>
        <w:rPr>
          <w:rFonts w:hint="eastAsia" w:ascii="仿宋" w:hAnsi="仿宋" w:eastAsia="仿宋"/>
          <w:color w:val="000000"/>
        </w:rPr>
        <w:t>汽车吊起重性能表</w:t>
      </w:r>
    </w:p>
    <w:p w14:paraId="363F9498">
      <w:pPr>
        <w:spacing w:line="240" w:lineRule="auto"/>
        <w:ind w:firstLine="0" w:firstLineChars="0"/>
        <w:jc w:val="center"/>
        <w:rPr>
          <w:color w:val="000000"/>
        </w:rPr>
      </w:pPr>
      <w:r>
        <w:drawing>
          <wp:inline distT="0" distB="0" distL="114300" distR="114300">
            <wp:extent cx="6170930" cy="5975985"/>
            <wp:effectExtent l="0" t="0" r="1270" b="5715"/>
            <wp:docPr id="3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0"/>
                    <pic:cNvPicPr>
                      <a:picLocks noChangeAspect="1"/>
                    </pic:cNvPicPr>
                  </pic:nvPicPr>
                  <pic:blipFill>
                    <a:blip r:embed="rId18"/>
                    <a:stretch>
                      <a:fillRect/>
                    </a:stretch>
                  </pic:blipFill>
                  <pic:spPr>
                    <a:xfrm>
                      <a:off x="0" y="0"/>
                      <a:ext cx="6170930" cy="5975985"/>
                    </a:xfrm>
                    <a:prstGeom prst="rect">
                      <a:avLst/>
                    </a:prstGeom>
                    <a:noFill/>
                    <a:ln>
                      <a:noFill/>
                    </a:ln>
                  </pic:spPr>
                </pic:pic>
              </a:graphicData>
            </a:graphic>
          </wp:inline>
        </w:drawing>
      </w:r>
    </w:p>
    <w:p w14:paraId="554EA2DB">
      <w:pPr>
        <w:spacing w:line="240" w:lineRule="auto"/>
        <w:ind w:firstLine="0" w:firstLineChars="0"/>
        <w:jc w:val="center"/>
        <w:rPr>
          <w:color w:val="000000"/>
        </w:rPr>
      </w:pPr>
      <w:r>
        <w:drawing>
          <wp:inline distT="0" distB="0" distL="114300" distR="114300">
            <wp:extent cx="5935345" cy="6134100"/>
            <wp:effectExtent l="0" t="0" r="8255" b="0"/>
            <wp:docPr id="3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1"/>
                    <pic:cNvPicPr>
                      <a:picLocks noChangeAspect="1"/>
                    </pic:cNvPicPr>
                  </pic:nvPicPr>
                  <pic:blipFill>
                    <a:blip r:embed="rId19"/>
                    <a:stretch>
                      <a:fillRect/>
                    </a:stretch>
                  </pic:blipFill>
                  <pic:spPr>
                    <a:xfrm>
                      <a:off x="0" y="0"/>
                      <a:ext cx="5935345" cy="6134100"/>
                    </a:xfrm>
                    <a:prstGeom prst="rect">
                      <a:avLst/>
                    </a:prstGeom>
                    <a:noFill/>
                    <a:ln>
                      <a:noFill/>
                    </a:ln>
                  </pic:spPr>
                </pic:pic>
              </a:graphicData>
            </a:graphic>
          </wp:inline>
        </w:drawing>
      </w:r>
    </w:p>
    <w:p w14:paraId="03328BDA">
      <w:pPr>
        <w:pStyle w:val="110"/>
        <w:rPr>
          <w:rFonts w:ascii="仿宋" w:hAnsi="仿宋" w:eastAsia="仿宋" w:cs="仿宋"/>
          <w:color w:val="000000"/>
        </w:rPr>
      </w:pPr>
      <w:r>
        <w:rPr>
          <w:rFonts w:hint="eastAsia" w:ascii="仿宋" w:hAnsi="仿宋" w:eastAsia="仿宋" w:cs="仿宋"/>
          <w:b/>
          <w:bCs/>
          <w:color w:val="000000"/>
          <w:szCs w:val="21"/>
        </w:rPr>
        <w:t xml:space="preserve">图 </w:t>
      </w:r>
      <w:r>
        <w:rPr>
          <w:rFonts w:hint="eastAsia" w:ascii="仿宋" w:hAnsi="仿宋" w:eastAsia="仿宋" w:cs="仿宋"/>
          <w:b/>
          <w:bCs/>
          <w:color w:val="000000"/>
          <w:szCs w:val="21"/>
        </w:rPr>
        <w:fldChar w:fldCharType="begin"/>
      </w:r>
      <w:r>
        <w:rPr>
          <w:rFonts w:hint="eastAsia" w:ascii="仿宋" w:hAnsi="仿宋" w:eastAsia="仿宋" w:cs="仿宋"/>
          <w:b/>
          <w:bCs/>
          <w:color w:val="000000"/>
          <w:szCs w:val="21"/>
        </w:rPr>
        <w:instrText xml:space="preserve"> STYLEREF 2 \s </w:instrText>
      </w:r>
      <w:r>
        <w:rPr>
          <w:rFonts w:hint="eastAsia" w:ascii="仿宋" w:hAnsi="仿宋" w:eastAsia="仿宋" w:cs="仿宋"/>
          <w:b/>
          <w:bCs/>
          <w:color w:val="000000"/>
          <w:szCs w:val="21"/>
        </w:rPr>
        <w:fldChar w:fldCharType="separate"/>
      </w:r>
      <w:r>
        <w:rPr>
          <w:rFonts w:hint="eastAsia" w:ascii="仿宋" w:hAnsi="仿宋" w:eastAsia="仿宋" w:cs="仿宋"/>
          <w:b/>
          <w:bCs/>
          <w:color w:val="000000"/>
          <w:szCs w:val="21"/>
        </w:rPr>
        <w:t>5.1</w:t>
      </w:r>
      <w:r>
        <w:rPr>
          <w:rFonts w:hint="eastAsia" w:ascii="仿宋" w:hAnsi="仿宋" w:eastAsia="仿宋" w:cs="仿宋"/>
          <w:b/>
          <w:bCs/>
          <w:color w:val="000000"/>
          <w:szCs w:val="21"/>
        </w:rPr>
        <w:fldChar w:fldCharType="end"/>
      </w:r>
      <w:r>
        <w:rPr>
          <w:rFonts w:hint="eastAsia" w:ascii="仿宋" w:hAnsi="仿宋" w:eastAsia="仿宋" w:cs="仿宋"/>
          <w:b/>
          <w:bCs/>
          <w:color w:val="000000"/>
          <w:szCs w:val="21"/>
        </w:rPr>
        <w:t>-</w:t>
      </w:r>
      <w:r>
        <w:rPr>
          <w:rFonts w:hint="eastAsia" w:ascii="仿宋" w:hAnsi="仿宋" w:eastAsia="仿宋" w:cs="仿宋"/>
          <w:b/>
          <w:bCs/>
          <w:color w:val="000000"/>
          <w:szCs w:val="21"/>
        </w:rPr>
        <w:fldChar w:fldCharType="begin"/>
      </w:r>
      <w:r>
        <w:rPr>
          <w:rFonts w:hint="eastAsia" w:ascii="仿宋" w:hAnsi="仿宋" w:eastAsia="仿宋" w:cs="仿宋"/>
          <w:b/>
          <w:bCs/>
          <w:color w:val="000000"/>
          <w:szCs w:val="21"/>
        </w:rPr>
        <w:instrText xml:space="preserve"> SEQ 图 \* ARABIC \s 2 </w:instrText>
      </w:r>
      <w:r>
        <w:rPr>
          <w:rFonts w:hint="eastAsia" w:ascii="仿宋" w:hAnsi="仿宋" w:eastAsia="仿宋" w:cs="仿宋"/>
          <w:b/>
          <w:bCs/>
          <w:color w:val="000000"/>
          <w:szCs w:val="21"/>
        </w:rPr>
        <w:fldChar w:fldCharType="separate"/>
      </w:r>
      <w:r>
        <w:rPr>
          <w:rFonts w:hint="eastAsia" w:ascii="仿宋" w:hAnsi="仿宋" w:eastAsia="仿宋" w:cs="仿宋"/>
          <w:b/>
          <w:bCs/>
          <w:color w:val="000000"/>
          <w:szCs w:val="21"/>
        </w:rPr>
        <w:t>1</w:t>
      </w:r>
      <w:r>
        <w:rPr>
          <w:rFonts w:hint="eastAsia" w:ascii="仿宋" w:hAnsi="仿宋" w:eastAsia="仿宋" w:cs="仿宋"/>
          <w:b/>
          <w:bCs/>
          <w:color w:val="000000"/>
          <w:szCs w:val="21"/>
        </w:rPr>
        <w:fldChar w:fldCharType="end"/>
      </w:r>
      <w:r>
        <w:rPr>
          <w:rFonts w:hint="eastAsia" w:ascii="仿宋" w:hAnsi="仿宋" w:eastAsia="仿宋" w:cs="仿宋"/>
          <w:b/>
          <w:bCs/>
          <w:color w:val="000000"/>
          <w:szCs w:val="21"/>
        </w:rPr>
        <w:t xml:space="preserve"> </w:t>
      </w:r>
      <w:r>
        <w:rPr>
          <w:rFonts w:hint="eastAsia" w:ascii="仿宋" w:hAnsi="仿宋" w:eastAsia="仿宋" w:cs="仿宋"/>
          <w:b/>
          <w:bCs/>
          <w:color w:val="000000"/>
          <w:szCs w:val="21"/>
          <w:lang w:val="en-US" w:eastAsia="zh-CN"/>
        </w:rPr>
        <w:t>100</w:t>
      </w:r>
      <w:r>
        <w:rPr>
          <w:rFonts w:hint="eastAsia" w:ascii="仿宋" w:hAnsi="仿宋" w:eastAsia="仿宋" w:cs="仿宋"/>
          <w:b/>
          <w:bCs/>
          <w:color w:val="000000"/>
          <w:szCs w:val="21"/>
        </w:rPr>
        <w:t>吨汽车吊起重性能曲线图</w:t>
      </w:r>
    </w:p>
    <w:p w14:paraId="0DD237D2">
      <w:pPr>
        <w:pStyle w:val="4"/>
        <w:numPr>
          <w:ilvl w:val="3"/>
          <w:numId w:val="1"/>
        </w:numPr>
        <w:rPr>
          <w:color w:val="000000"/>
          <w:highlight w:val="none"/>
        </w:rPr>
      </w:pPr>
      <w:r>
        <w:rPr>
          <w:rFonts w:hint="eastAsia"/>
          <w:color w:val="000000"/>
          <w:highlight w:val="none"/>
        </w:rPr>
        <w:t>起重量的验算</w:t>
      </w:r>
    </w:p>
    <w:p w14:paraId="612164E0">
      <w:pPr>
        <w:spacing w:line="360" w:lineRule="auto"/>
        <w:ind w:firstLine="480"/>
        <w:rPr>
          <w:rFonts w:hint="eastAsia"/>
          <w:bCs/>
          <w:color w:val="000000"/>
          <w:sz w:val="24"/>
          <w:lang w:val="zh-CN"/>
        </w:rPr>
      </w:pPr>
      <w:r>
        <w:rPr>
          <w:rFonts w:hint="eastAsia"/>
          <w:bCs/>
          <w:color w:val="000000"/>
          <w:sz w:val="24"/>
          <w:lang w:val="zh-CN"/>
        </w:rPr>
        <w:t xml:space="preserve">    计算依据：</w:t>
      </w:r>
    </w:p>
    <w:p w14:paraId="77C33CA8">
      <w:pPr>
        <w:spacing w:line="360" w:lineRule="auto"/>
        <w:ind w:firstLine="480"/>
        <w:rPr>
          <w:rFonts w:hint="eastAsia"/>
          <w:bCs/>
          <w:color w:val="000000"/>
          <w:sz w:val="24"/>
          <w:lang w:val="zh-CN"/>
        </w:rPr>
      </w:pPr>
      <w:r>
        <w:rPr>
          <w:rFonts w:hint="eastAsia"/>
          <w:bCs/>
          <w:color w:val="000000"/>
          <w:sz w:val="24"/>
          <w:lang w:val="zh-CN"/>
        </w:rPr>
        <w:t xml:space="preserve">    1、《建筑结构荷载规范》GB 50009-2012</w:t>
      </w:r>
    </w:p>
    <w:p w14:paraId="3506800D">
      <w:pPr>
        <w:spacing w:line="360" w:lineRule="auto"/>
        <w:ind w:firstLine="480"/>
        <w:rPr>
          <w:rFonts w:hint="eastAsia"/>
          <w:bCs/>
          <w:color w:val="000000"/>
          <w:sz w:val="24"/>
          <w:lang w:val="zh-CN"/>
        </w:rPr>
      </w:pPr>
      <w:r>
        <w:rPr>
          <w:rFonts w:hint="eastAsia"/>
          <w:bCs/>
          <w:color w:val="000000"/>
          <w:sz w:val="24"/>
          <w:lang w:val="zh-CN"/>
        </w:rPr>
        <w:t xml:space="preserve">    2、《建筑结构可靠性设计统一标准》GB50068-2018</w:t>
      </w:r>
    </w:p>
    <w:p w14:paraId="351FA80B">
      <w:pPr>
        <w:spacing w:line="360" w:lineRule="auto"/>
        <w:ind w:firstLine="480"/>
        <w:rPr>
          <w:rFonts w:hint="eastAsia"/>
          <w:bCs/>
          <w:color w:val="000000"/>
          <w:sz w:val="24"/>
          <w:lang w:val="zh-CN"/>
        </w:rPr>
      </w:pPr>
      <w:r>
        <w:rPr>
          <w:rFonts w:hint="eastAsia"/>
          <w:bCs/>
          <w:color w:val="000000"/>
          <w:sz w:val="24"/>
          <w:lang w:val="zh-CN"/>
        </w:rPr>
        <w:t xml:space="preserve">    3、《建筑地基基础设计规范》GB50007-2011</w:t>
      </w:r>
    </w:p>
    <w:p w14:paraId="4B5E23C6">
      <w:pPr>
        <w:spacing w:line="360" w:lineRule="auto"/>
        <w:ind w:firstLine="480"/>
        <w:rPr>
          <w:rFonts w:hint="eastAsia"/>
          <w:bCs/>
          <w:color w:val="000000"/>
          <w:sz w:val="24"/>
          <w:lang w:val="zh-CN"/>
        </w:rPr>
      </w:pPr>
      <w:r>
        <w:rPr>
          <w:rFonts w:hint="eastAsia"/>
          <w:bCs/>
          <w:color w:val="000000"/>
          <w:sz w:val="24"/>
          <w:lang w:val="zh-CN"/>
        </w:rPr>
        <w:t xml:space="preserve">    4、三一厂家STC</w:t>
      </w:r>
      <w:r>
        <w:rPr>
          <w:rFonts w:hint="eastAsia"/>
          <w:bCs/>
          <w:color w:val="000000"/>
          <w:sz w:val="24"/>
          <w:lang w:val="en-US" w:eastAsia="zh-CN"/>
        </w:rPr>
        <w:t>10</w:t>
      </w:r>
      <w:r>
        <w:rPr>
          <w:rFonts w:hint="eastAsia"/>
          <w:bCs/>
          <w:color w:val="000000"/>
          <w:sz w:val="24"/>
          <w:lang w:val="zh-CN"/>
        </w:rPr>
        <w:t>00C5-8型号汽车起重机说明书</w:t>
      </w:r>
    </w:p>
    <w:p w14:paraId="15D05A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Cs/>
          <w:color w:val="000000"/>
          <w:sz w:val="24"/>
        </w:rPr>
      </w:pPr>
      <w:r>
        <w:rPr>
          <w:rFonts w:hint="eastAsia"/>
          <w:bCs/>
          <w:color w:val="000000"/>
          <w:sz w:val="24"/>
          <w:lang w:val="en-US" w:eastAsia="zh-CN"/>
        </w:rPr>
        <w:t>100t汽车吊吊装最大件为爬升架单元总成17.08t，汽车吊自重50吨，配重21.5</w:t>
      </w:r>
      <w:r>
        <w:rPr>
          <w:rFonts w:hint="default"/>
          <w:bCs/>
          <w:color w:val="000000"/>
          <w:sz w:val="24"/>
          <w:lang w:val="en-US" w:eastAsia="zh-CN"/>
        </w:rPr>
        <w:t>t</w:t>
      </w:r>
      <w:r>
        <w:rPr>
          <w:rFonts w:hint="eastAsia"/>
          <w:bCs/>
          <w:color w:val="000000"/>
          <w:sz w:val="24"/>
          <w:lang w:val="en-US" w:eastAsia="zh-CN"/>
        </w:rPr>
        <w:t>。</w:t>
      </w:r>
    </w:p>
    <w:p w14:paraId="1FB4900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eastAsia="仿宋"/>
          <w:color w:val="000000"/>
          <w:lang w:eastAsia="zh-CN"/>
        </w:rPr>
      </w:pPr>
      <w:r>
        <w:drawing>
          <wp:inline distT="0" distB="0" distL="114300" distR="114300">
            <wp:extent cx="5935980" cy="5150485"/>
            <wp:effectExtent l="0" t="0" r="7620" b="12065"/>
            <wp:docPr id="3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3"/>
                    <pic:cNvPicPr>
                      <a:picLocks noChangeAspect="1"/>
                    </pic:cNvPicPr>
                  </pic:nvPicPr>
                  <pic:blipFill>
                    <a:blip r:embed="rId20"/>
                    <a:stretch>
                      <a:fillRect/>
                    </a:stretch>
                  </pic:blipFill>
                  <pic:spPr>
                    <a:xfrm>
                      <a:off x="0" y="0"/>
                      <a:ext cx="5935980" cy="5150485"/>
                    </a:xfrm>
                    <a:prstGeom prst="rect">
                      <a:avLst/>
                    </a:prstGeom>
                    <a:noFill/>
                    <a:ln>
                      <a:noFill/>
                    </a:ln>
                  </pic:spPr>
                </pic:pic>
              </a:graphicData>
            </a:graphic>
          </wp:inline>
        </w:drawing>
      </w:r>
    </w:p>
    <w:p w14:paraId="08804FA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color w:val="000000"/>
          <w:lang w:val="en-US" w:eastAsia="zh-CN"/>
        </w:rPr>
      </w:pPr>
      <w:r>
        <w:rPr>
          <w:rFonts w:hint="eastAsia"/>
          <w:color w:val="000000"/>
          <w:lang w:val="en-US" w:eastAsia="zh-CN"/>
        </w:rPr>
        <w:t>100T汽车吊外形尺寸</w:t>
      </w:r>
    </w:p>
    <w:p w14:paraId="72C3FB9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color w:val="000000"/>
          <w:lang w:val="en-US" w:eastAsia="zh-CN"/>
        </w:rPr>
      </w:pPr>
      <w:r>
        <w:drawing>
          <wp:inline distT="0" distB="0" distL="114300" distR="114300">
            <wp:extent cx="5938520" cy="5648325"/>
            <wp:effectExtent l="0" t="0" r="5080" b="9525"/>
            <wp:docPr id="3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4"/>
                    <pic:cNvPicPr>
                      <a:picLocks noChangeAspect="1"/>
                    </pic:cNvPicPr>
                  </pic:nvPicPr>
                  <pic:blipFill>
                    <a:blip r:embed="rId21"/>
                    <a:stretch>
                      <a:fillRect/>
                    </a:stretch>
                  </pic:blipFill>
                  <pic:spPr>
                    <a:xfrm>
                      <a:off x="0" y="0"/>
                      <a:ext cx="5938520" cy="5648325"/>
                    </a:xfrm>
                    <a:prstGeom prst="rect">
                      <a:avLst/>
                    </a:prstGeom>
                    <a:noFill/>
                    <a:ln>
                      <a:noFill/>
                    </a:ln>
                  </pic:spPr>
                </pic:pic>
              </a:graphicData>
            </a:graphic>
          </wp:inline>
        </w:drawing>
      </w:r>
    </w:p>
    <w:p w14:paraId="1BAFE80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color w:val="000000"/>
          <w:lang w:val="en-US" w:eastAsia="zh-CN"/>
        </w:rPr>
      </w:pPr>
      <w:r>
        <w:rPr>
          <w:rFonts w:hint="eastAsia"/>
          <w:color w:val="000000"/>
          <w:lang w:val="en-US" w:eastAsia="zh-CN"/>
        </w:rPr>
        <w:t>100T汽车吊主要技术参数</w:t>
      </w:r>
    </w:p>
    <w:p w14:paraId="1C262F7E">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color w:val="000000"/>
          <w:lang w:val="en-US" w:eastAsia="zh-CN"/>
        </w:rPr>
      </w:pPr>
      <w:r>
        <w:rPr>
          <w:rFonts w:hint="eastAsia"/>
          <w:color w:val="000000"/>
          <w:lang w:val="en-US" w:eastAsia="zh-CN"/>
        </w:rPr>
        <w:t>采用极限状态法计算汽车吊地基承载力P：</w:t>
      </w:r>
    </w:p>
    <w:p w14:paraId="1C4195C4">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default"/>
          <w:color w:val="000000"/>
          <w:lang w:val="en-US" w:eastAsia="zh-CN"/>
        </w:rPr>
      </w:pPr>
      <w:r>
        <w:rPr>
          <w:rFonts w:hint="default"/>
          <w:color w:val="000000"/>
          <w:position w:val="-30"/>
          <w:lang w:val="en-US" w:eastAsia="zh-CN"/>
        </w:rPr>
        <w:object>
          <v:shape id="_x0000_i1025" o:spt="75" type="#_x0000_t75" style="height:34pt;width:264pt;" o:ole="t" filled="f" o:preferrelative="t" stroked="f" coordsize="21600,21600">
            <v:path/>
            <v:fill on="f" focussize="0,0"/>
            <v:stroke on="f"/>
            <v:imagedata r:id="rId23" o:title=""/>
            <o:lock v:ext="edit" aspectratio="t"/>
            <w10:wrap type="none"/>
            <w10:anchorlock/>
          </v:shape>
          <o:OLEObject Type="Embed" ProgID="Equation.KSEE3" ShapeID="_x0000_i1025" DrawAspect="Content" ObjectID="_1468075725" r:id="rId22">
            <o:LockedField>false</o:LockedField>
          </o:OLEObject>
        </w:object>
      </w:r>
    </w:p>
    <w:p w14:paraId="3D9860E4">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bCs/>
          <w:color w:val="000000"/>
          <w:sz w:val="28"/>
          <w:vertAlign w:val="baseline"/>
          <w:lang w:val="en-US" w:eastAsia="zh-CN"/>
        </w:rPr>
      </w:pPr>
      <w:r>
        <w:rPr>
          <w:rFonts w:hint="eastAsia"/>
          <w:color w:val="000000"/>
          <w:lang w:val="en-US" w:eastAsia="zh-CN"/>
        </w:rPr>
        <w:t>其中：G</w:t>
      </w:r>
      <w:r>
        <w:rPr>
          <w:rFonts w:hint="eastAsia"/>
          <w:bCs/>
          <w:color w:val="000000"/>
          <w:sz w:val="28"/>
          <w:vertAlign w:val="subscript"/>
          <w:lang w:val="en-US" w:eastAsia="zh-CN"/>
        </w:rPr>
        <w:t>1</w:t>
      </w:r>
      <w:r>
        <w:rPr>
          <w:rFonts w:hint="eastAsia"/>
          <w:bCs/>
          <w:color w:val="000000"/>
          <w:sz w:val="28"/>
          <w:vertAlign w:val="baseline"/>
          <w:lang w:val="en-US" w:eastAsia="zh-CN"/>
        </w:rPr>
        <w:t>为汽车吊自重（50t）;</w:t>
      </w:r>
    </w:p>
    <w:p w14:paraId="57CC3CCE">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bCs/>
          <w:color w:val="000000"/>
          <w:sz w:val="28"/>
          <w:vertAlign w:val="baseline"/>
          <w:lang w:val="en-US" w:eastAsia="zh-CN"/>
        </w:rPr>
      </w:pPr>
      <w:r>
        <w:rPr>
          <w:rFonts w:hint="eastAsia"/>
          <w:bCs/>
          <w:color w:val="000000"/>
          <w:sz w:val="28"/>
          <w:vertAlign w:val="baseline"/>
          <w:lang w:val="en-US" w:eastAsia="zh-CN"/>
        </w:rPr>
        <w:t xml:space="preserve">      </w:t>
      </w:r>
      <w:r>
        <w:rPr>
          <w:rFonts w:hint="eastAsia"/>
          <w:color w:val="000000"/>
          <w:lang w:val="en-US" w:eastAsia="zh-CN"/>
        </w:rPr>
        <w:t>G</w:t>
      </w:r>
      <w:r>
        <w:rPr>
          <w:rFonts w:hint="eastAsia"/>
          <w:bCs/>
          <w:color w:val="000000"/>
          <w:sz w:val="28"/>
          <w:vertAlign w:val="subscript"/>
          <w:lang w:val="en-US" w:eastAsia="zh-CN"/>
        </w:rPr>
        <w:t>2</w:t>
      </w:r>
      <w:r>
        <w:rPr>
          <w:rFonts w:hint="eastAsia"/>
          <w:bCs/>
          <w:color w:val="000000"/>
          <w:sz w:val="28"/>
          <w:vertAlign w:val="baseline"/>
          <w:lang w:val="en-US" w:eastAsia="zh-CN"/>
        </w:rPr>
        <w:t>为配重（21.5t）;</w:t>
      </w:r>
    </w:p>
    <w:p w14:paraId="186F89C1">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bCs/>
          <w:color w:val="000000"/>
          <w:sz w:val="28"/>
          <w:vertAlign w:val="baseline"/>
          <w:lang w:val="en-US" w:eastAsia="zh-CN"/>
        </w:rPr>
      </w:pPr>
      <w:r>
        <w:rPr>
          <w:rFonts w:hint="eastAsia"/>
          <w:bCs/>
          <w:color w:val="000000"/>
          <w:sz w:val="28"/>
          <w:vertAlign w:val="baseline"/>
          <w:lang w:val="en-US" w:eastAsia="zh-CN"/>
        </w:rPr>
        <w:t xml:space="preserve">      q为吊索具重量（1t）;</w:t>
      </w:r>
    </w:p>
    <w:p w14:paraId="46D584E1">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bCs/>
          <w:color w:val="000000"/>
          <w:sz w:val="28"/>
          <w:vertAlign w:val="baseline"/>
          <w:lang w:val="en-US" w:eastAsia="zh-CN"/>
        </w:rPr>
      </w:pPr>
      <w:r>
        <w:rPr>
          <w:rFonts w:hint="eastAsia"/>
          <w:bCs/>
          <w:color w:val="000000"/>
          <w:sz w:val="28"/>
          <w:vertAlign w:val="baseline"/>
          <w:lang w:val="en-US" w:eastAsia="zh-CN"/>
        </w:rPr>
        <w:t xml:space="preserve">      </w:t>
      </w:r>
      <w:r>
        <w:rPr>
          <w:rFonts w:hint="eastAsia"/>
          <w:color w:val="000000"/>
          <w:lang w:val="en-US" w:eastAsia="zh-CN"/>
        </w:rPr>
        <w:t>Q</w:t>
      </w:r>
      <w:r>
        <w:rPr>
          <w:rFonts w:hint="eastAsia"/>
          <w:bCs/>
          <w:color w:val="000000"/>
          <w:sz w:val="28"/>
          <w:vertAlign w:val="baseline"/>
          <w:lang w:val="en-US" w:eastAsia="zh-CN"/>
        </w:rPr>
        <w:t>为起升载荷（17.08t）;</w:t>
      </w:r>
    </w:p>
    <w:p w14:paraId="08053501">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bCs/>
          <w:color w:val="000000"/>
          <w:sz w:val="28"/>
          <w:vertAlign w:val="baseline"/>
          <w:lang w:val="en-US" w:eastAsia="zh-CN"/>
        </w:rPr>
      </w:pPr>
      <w:r>
        <w:rPr>
          <w:rFonts w:hint="eastAsia"/>
          <w:bCs/>
          <w:color w:val="000000"/>
          <w:sz w:val="28"/>
          <w:vertAlign w:val="baseline"/>
          <w:lang w:val="en-US" w:eastAsia="zh-CN"/>
        </w:rPr>
        <w:t xml:space="preserve">      </w:t>
      </w:r>
      <w:r>
        <w:rPr>
          <w:rFonts w:hint="eastAsia"/>
          <w:color w:val="000000"/>
          <w:lang w:val="en-US" w:eastAsia="zh-CN"/>
        </w:rPr>
        <w:t>R</w:t>
      </w:r>
      <w:r>
        <w:rPr>
          <w:rFonts w:hint="eastAsia"/>
          <w:bCs/>
          <w:color w:val="000000"/>
          <w:sz w:val="28"/>
          <w:vertAlign w:val="baseline"/>
          <w:lang w:val="en-US" w:eastAsia="zh-CN"/>
        </w:rPr>
        <w:t>为吊装幅度（12m）;</w:t>
      </w:r>
    </w:p>
    <w:p w14:paraId="7A30B7EE">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default"/>
          <w:bCs/>
          <w:color w:val="000000"/>
          <w:sz w:val="28"/>
          <w:vertAlign w:val="baseline"/>
          <w:lang w:val="en-US" w:eastAsia="zh-CN"/>
        </w:rPr>
      </w:pPr>
      <w:r>
        <w:rPr>
          <w:rFonts w:hint="eastAsia"/>
          <w:bCs/>
          <w:color w:val="000000"/>
          <w:sz w:val="28"/>
          <w:vertAlign w:val="baseline"/>
          <w:lang w:val="en-US" w:eastAsia="zh-CN"/>
        </w:rPr>
        <w:t xml:space="preserve">      a为汽车吊支腿横向跨距8.3m、b为汽车吊支腿纵向跨距6.63m；</w:t>
      </w:r>
    </w:p>
    <w:p w14:paraId="585F1B30">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color w:val="000000"/>
          <w:sz w:val="24"/>
        </w:rPr>
      </w:pPr>
      <w:r>
        <w:rPr>
          <w:rFonts w:hint="eastAsia"/>
          <w:bCs/>
          <w:color w:val="000000"/>
          <w:sz w:val="28"/>
          <w:vertAlign w:val="baseline"/>
          <w:lang w:val="en-US" w:eastAsia="zh-CN"/>
        </w:rPr>
        <w:t>经计算</w:t>
      </w:r>
      <w:r>
        <w:rPr>
          <w:rFonts w:hint="default"/>
          <w:color w:val="000000"/>
          <w:position w:val="-28"/>
          <w:lang w:val="en-US" w:eastAsia="zh-CN"/>
        </w:rPr>
        <w:object>
          <v:shape id="_x0000_i1026" o:spt="75" type="#_x0000_t75" style="height:33pt;width:328.25pt;" o:ole="t" filled="f" o:preferrelative="t" stroked="f" coordsize="21600,21600">
            <v:path/>
            <v:fill on="f" focussize="0,0"/>
            <v:stroke on="f"/>
            <v:imagedata r:id="rId25" o:title=""/>
            <o:lock v:ext="edit" aspectratio="t"/>
            <w10:wrap type="none"/>
            <w10:anchorlock/>
          </v:shape>
          <o:OLEObject Type="Embed" ProgID="Equation.KSEE3" ShapeID="_x0000_i1026" DrawAspect="Content" ObjectID="_1468075726" r:id="rId24">
            <o:LockedField>false</o:LockedField>
          </o:OLEObject>
        </w:object>
      </w:r>
      <w:r>
        <w:rPr>
          <w:rFonts w:hint="eastAsia"/>
          <w:color w:val="000000"/>
          <w:lang w:val="en-US" w:eastAsia="zh-CN"/>
        </w:rPr>
        <w:t>54.237t</w:t>
      </w:r>
    </w:p>
    <w:p w14:paraId="6470AB24">
      <w:pPr>
        <w:pStyle w:val="4"/>
        <w:numPr>
          <w:ilvl w:val="3"/>
          <w:numId w:val="1"/>
        </w:numPr>
        <w:rPr>
          <w:color w:val="000000"/>
          <w:highlight w:val="none"/>
        </w:rPr>
      </w:pPr>
      <w:r>
        <w:rPr>
          <w:rFonts w:hint="eastAsia"/>
          <w:color w:val="000000"/>
          <w:highlight w:val="none"/>
        </w:rPr>
        <w:t xml:space="preserve"> 地基基础验算</w:t>
      </w:r>
    </w:p>
    <w:p w14:paraId="720B565B">
      <w:pPr>
        <w:spacing w:line="360" w:lineRule="auto"/>
        <w:ind w:firstLine="482"/>
        <w:rPr>
          <w:color w:val="000000"/>
        </w:rPr>
      </w:pPr>
      <w:r>
        <w:rPr>
          <w:rFonts w:hint="eastAsia"/>
          <w:b/>
          <w:color w:val="000000"/>
          <w:sz w:val="24"/>
        </w:rPr>
        <w:t xml:space="preserve">  1、地基参数</w:t>
      </w:r>
    </w:p>
    <w:tbl>
      <w:tblPr>
        <w:tblStyle w:val="28"/>
        <w:tblW w:w="9134" w:type="dxa"/>
        <w:jc w:val="center"/>
        <w:shd w:val="clear" w:color="auto" w:fill="FFFFFF"/>
        <w:tblLayout w:type="autofit"/>
        <w:tblCellMar>
          <w:top w:w="45" w:type="dxa"/>
          <w:left w:w="45" w:type="dxa"/>
          <w:bottom w:w="45" w:type="dxa"/>
          <w:right w:w="45" w:type="dxa"/>
        </w:tblCellMar>
      </w:tblPr>
      <w:tblGrid>
        <w:gridCol w:w="2808"/>
        <w:gridCol w:w="1603"/>
        <w:gridCol w:w="2253"/>
        <w:gridCol w:w="2470"/>
      </w:tblGrid>
      <w:tr w14:paraId="2301A19E">
        <w:tblPrEx>
          <w:shd w:val="clear" w:color="auto" w:fill="FFFFFF"/>
          <w:tblCellMar>
            <w:top w:w="45" w:type="dxa"/>
            <w:left w:w="45" w:type="dxa"/>
            <w:bottom w:w="45" w:type="dxa"/>
            <w:right w:w="45" w:type="dxa"/>
          </w:tblCellMar>
        </w:tblPrEx>
        <w:trPr>
          <w:trHeight w:val="75" w:hRule="atLeast"/>
          <w:jc w:val="center"/>
        </w:trPr>
        <w:tc>
          <w:tcPr>
            <w:tcW w:w="2808" w:type="dxa"/>
            <w:tcBorders>
              <w:top w:val="single" w:color="auto" w:sz="6" w:space="0"/>
              <w:left w:val="single" w:color="auto" w:sz="6" w:space="0"/>
              <w:bottom w:val="single" w:color="auto" w:sz="6" w:space="0"/>
              <w:right w:val="single" w:color="auto" w:sz="6" w:space="0"/>
            </w:tcBorders>
            <w:shd w:val="clear" w:color="auto" w:fill="FFFFFF"/>
            <w:noWrap w:val="0"/>
            <w:vAlign w:val="top"/>
          </w:tcPr>
          <w:p w14:paraId="3538C731">
            <w:pPr>
              <w:spacing w:line="360" w:lineRule="auto"/>
              <w:ind w:firstLine="360"/>
              <w:rPr>
                <w:color w:val="000000"/>
              </w:rPr>
            </w:pPr>
            <w:r>
              <w:rPr>
                <w:rFonts w:hint="eastAsia"/>
                <w:color w:val="000000"/>
                <w:sz w:val="18"/>
              </w:rPr>
              <w:t>单根支腿受力面积A</w:t>
            </w:r>
            <w:r>
              <w:rPr>
                <w:rFonts w:hint="eastAsia"/>
                <w:color w:val="000000"/>
                <w:sz w:val="24"/>
                <w:vertAlign w:val="subscript"/>
              </w:rPr>
              <w:t>d1</w:t>
            </w:r>
            <w:r>
              <w:rPr>
                <w:rFonts w:hint="eastAsia"/>
                <w:color w:val="000000"/>
                <w:sz w:val="18"/>
              </w:rPr>
              <w:t>(m</w:t>
            </w:r>
            <w:r>
              <w:rPr>
                <w:rFonts w:hint="eastAsia"/>
                <w:color w:val="000000"/>
                <w:sz w:val="24"/>
                <w:vertAlign w:val="superscript"/>
              </w:rPr>
              <w:t>2</w:t>
            </w:r>
            <w:r>
              <w:rPr>
                <w:rFonts w:hint="eastAsia"/>
                <w:color w:val="000000"/>
                <w:sz w:val="18"/>
              </w:rPr>
              <w:t>)</w:t>
            </w:r>
          </w:p>
        </w:tc>
        <w:tc>
          <w:tcPr>
            <w:tcW w:w="1603" w:type="dxa"/>
            <w:tcBorders>
              <w:top w:val="single" w:color="auto" w:sz="6" w:space="0"/>
              <w:left w:val="single" w:color="auto" w:sz="6" w:space="0"/>
              <w:bottom w:val="single" w:color="auto" w:sz="6" w:space="0"/>
              <w:right w:val="single" w:color="auto" w:sz="6" w:space="0"/>
            </w:tcBorders>
            <w:shd w:val="clear" w:color="auto" w:fill="FFFFFF"/>
            <w:noWrap w:val="0"/>
            <w:vAlign w:val="top"/>
          </w:tcPr>
          <w:p w14:paraId="34D90656">
            <w:pPr>
              <w:spacing w:line="360" w:lineRule="auto"/>
              <w:ind w:firstLine="0" w:firstLineChars="0"/>
              <w:jc w:val="center"/>
              <w:rPr>
                <w:rFonts w:hint="default" w:eastAsia="仿宋"/>
                <w:color w:val="000000"/>
                <w:lang w:val="en-US" w:eastAsia="zh-CN"/>
              </w:rPr>
            </w:pPr>
            <w:r>
              <w:rPr>
                <w:rFonts w:hint="eastAsia"/>
                <w:color w:val="000000"/>
                <w:sz w:val="18"/>
                <w:lang w:val="en-US" w:eastAsia="zh-CN"/>
              </w:rPr>
              <w:t>3.24</w:t>
            </w:r>
          </w:p>
        </w:tc>
        <w:tc>
          <w:tcPr>
            <w:tcW w:w="2253" w:type="dxa"/>
            <w:tcBorders>
              <w:top w:val="single" w:color="auto" w:sz="6" w:space="0"/>
              <w:left w:val="single" w:color="auto" w:sz="6" w:space="0"/>
              <w:bottom w:val="single" w:color="auto" w:sz="6" w:space="0"/>
              <w:right w:val="single" w:color="auto" w:sz="6" w:space="0"/>
            </w:tcBorders>
            <w:shd w:val="clear" w:color="auto" w:fill="FFFFFF"/>
            <w:noWrap w:val="0"/>
            <w:vAlign w:val="top"/>
          </w:tcPr>
          <w:p w14:paraId="4D0FB7EF">
            <w:pPr>
              <w:spacing w:line="360" w:lineRule="auto"/>
              <w:ind w:firstLine="0" w:firstLineChars="0"/>
              <w:jc w:val="center"/>
              <w:rPr>
                <w:color w:val="000000"/>
              </w:rPr>
            </w:pPr>
            <w:r>
              <w:rPr>
                <w:rFonts w:hint="eastAsia"/>
                <w:color w:val="000000"/>
                <w:sz w:val="18"/>
              </w:rPr>
              <w:t>地基土类型</w:t>
            </w:r>
          </w:p>
        </w:tc>
        <w:tc>
          <w:tcPr>
            <w:tcW w:w="2470" w:type="dxa"/>
            <w:tcBorders>
              <w:top w:val="single" w:color="auto" w:sz="6" w:space="0"/>
              <w:left w:val="single" w:color="auto" w:sz="6" w:space="0"/>
              <w:bottom w:val="single" w:color="auto" w:sz="6" w:space="0"/>
              <w:right w:val="single" w:color="auto" w:sz="6" w:space="0"/>
            </w:tcBorders>
            <w:shd w:val="clear" w:color="auto" w:fill="FFFFFF"/>
            <w:noWrap w:val="0"/>
            <w:vAlign w:val="top"/>
          </w:tcPr>
          <w:p w14:paraId="1CD04E3B">
            <w:pPr>
              <w:spacing w:line="360" w:lineRule="auto"/>
              <w:ind w:firstLine="0" w:firstLineChars="0"/>
              <w:jc w:val="center"/>
              <w:rPr>
                <w:rFonts w:hint="eastAsia" w:eastAsia="仿宋"/>
                <w:color w:val="000000"/>
                <w:lang w:eastAsia="zh-CN"/>
              </w:rPr>
            </w:pPr>
            <w:r>
              <w:rPr>
                <w:rFonts w:hint="eastAsia"/>
                <w:bCs/>
                <w:color w:val="auto"/>
                <w:sz w:val="18"/>
                <w:lang w:val="en-US" w:eastAsia="zh-CN"/>
              </w:rPr>
              <w:t>钢平台</w:t>
            </w:r>
          </w:p>
        </w:tc>
      </w:tr>
      <w:tr w14:paraId="5778DE90">
        <w:tblPrEx>
          <w:shd w:val="clear" w:color="auto" w:fill="FFFFFF"/>
          <w:tblCellMar>
            <w:top w:w="45" w:type="dxa"/>
            <w:left w:w="45" w:type="dxa"/>
            <w:bottom w:w="45" w:type="dxa"/>
            <w:right w:w="45" w:type="dxa"/>
          </w:tblCellMar>
        </w:tblPrEx>
        <w:trPr>
          <w:trHeight w:val="75" w:hRule="atLeast"/>
          <w:jc w:val="center"/>
        </w:trPr>
        <w:tc>
          <w:tcPr>
            <w:tcW w:w="2808" w:type="dxa"/>
            <w:tcBorders>
              <w:top w:val="single" w:color="auto" w:sz="6" w:space="0"/>
              <w:left w:val="single" w:color="auto" w:sz="6" w:space="0"/>
              <w:bottom w:val="single" w:color="auto" w:sz="6" w:space="0"/>
              <w:right w:val="single" w:color="auto" w:sz="6" w:space="0"/>
            </w:tcBorders>
            <w:shd w:val="clear" w:color="auto" w:fill="FFFFFF"/>
            <w:noWrap w:val="0"/>
            <w:vAlign w:val="top"/>
          </w:tcPr>
          <w:p w14:paraId="52CC1D18">
            <w:pPr>
              <w:spacing w:line="360" w:lineRule="auto"/>
              <w:ind w:firstLine="360"/>
              <w:rPr>
                <w:color w:val="000000"/>
              </w:rPr>
            </w:pPr>
            <w:r>
              <w:rPr>
                <w:rFonts w:hint="eastAsia"/>
                <w:color w:val="000000"/>
                <w:sz w:val="18"/>
              </w:rPr>
              <w:t>地基承载力特征值fak(kPa)</w:t>
            </w:r>
          </w:p>
        </w:tc>
        <w:tc>
          <w:tcPr>
            <w:tcW w:w="1603" w:type="dxa"/>
            <w:tcBorders>
              <w:top w:val="single" w:color="auto" w:sz="6" w:space="0"/>
              <w:left w:val="single" w:color="auto" w:sz="6" w:space="0"/>
              <w:bottom w:val="single" w:color="auto" w:sz="6" w:space="0"/>
              <w:right w:val="single" w:color="auto" w:sz="4" w:space="0"/>
            </w:tcBorders>
            <w:shd w:val="clear" w:color="auto" w:fill="FFFFFF"/>
            <w:noWrap w:val="0"/>
            <w:vAlign w:val="top"/>
          </w:tcPr>
          <w:p w14:paraId="531A9456">
            <w:pPr>
              <w:spacing w:line="360" w:lineRule="auto"/>
              <w:ind w:firstLine="0" w:firstLineChars="0"/>
              <w:jc w:val="center"/>
              <w:rPr>
                <w:rFonts w:hint="default" w:eastAsia="仿宋"/>
                <w:color w:val="000000"/>
                <w:lang w:val="en-US" w:eastAsia="zh-CN"/>
              </w:rPr>
            </w:pPr>
            <w:r>
              <w:rPr>
                <w:rFonts w:hint="eastAsia"/>
                <w:color w:val="000000"/>
                <w:sz w:val="18"/>
                <w:lang w:val="en-US" w:eastAsia="zh-CN"/>
              </w:rPr>
              <w:t>215</w:t>
            </w:r>
          </w:p>
        </w:tc>
        <w:tc>
          <w:tcPr>
            <w:tcW w:w="2253" w:type="dxa"/>
            <w:tcBorders>
              <w:top w:val="single" w:color="auto" w:sz="6" w:space="0"/>
              <w:left w:val="single" w:color="auto" w:sz="4" w:space="0"/>
              <w:bottom w:val="single" w:color="auto" w:sz="6" w:space="0"/>
              <w:right w:val="single" w:color="auto" w:sz="4" w:space="0"/>
            </w:tcBorders>
            <w:shd w:val="clear" w:color="auto" w:fill="FFFFFF"/>
            <w:noWrap w:val="0"/>
            <w:vAlign w:val="top"/>
          </w:tcPr>
          <w:p w14:paraId="07DEAFC2">
            <w:pPr>
              <w:spacing w:line="360" w:lineRule="auto"/>
              <w:ind w:firstLine="0" w:firstLineChars="0"/>
              <w:jc w:val="center"/>
              <w:rPr>
                <w:color w:val="000000"/>
                <w:sz w:val="18"/>
              </w:rPr>
            </w:pPr>
            <w:r>
              <w:rPr>
                <w:rFonts w:hint="eastAsia"/>
                <w:color w:val="000000"/>
                <w:sz w:val="18"/>
              </w:rPr>
              <w:t>汽车吊垫</w:t>
            </w:r>
            <w:r>
              <w:rPr>
                <w:rFonts w:hint="eastAsia"/>
                <w:color w:val="000000"/>
                <w:sz w:val="18"/>
                <w:lang w:val="en-US" w:eastAsia="zh-CN"/>
              </w:rPr>
              <w:t>钢板</w:t>
            </w:r>
            <w:r>
              <w:rPr>
                <w:rFonts w:hint="eastAsia"/>
                <w:color w:val="000000"/>
                <w:sz w:val="18"/>
              </w:rPr>
              <w:t>（㎡）</w:t>
            </w:r>
          </w:p>
        </w:tc>
        <w:tc>
          <w:tcPr>
            <w:tcW w:w="2470" w:type="dxa"/>
            <w:tcBorders>
              <w:top w:val="single" w:color="auto" w:sz="6" w:space="0"/>
              <w:left w:val="single" w:color="auto" w:sz="4" w:space="0"/>
              <w:bottom w:val="single" w:color="auto" w:sz="6" w:space="0"/>
              <w:right w:val="single" w:color="auto" w:sz="6" w:space="0"/>
            </w:tcBorders>
            <w:shd w:val="clear" w:color="auto" w:fill="FFFFFF"/>
            <w:noWrap w:val="0"/>
            <w:vAlign w:val="top"/>
          </w:tcPr>
          <w:p w14:paraId="368A1431">
            <w:pPr>
              <w:spacing w:line="360" w:lineRule="auto"/>
              <w:ind w:firstLine="0" w:firstLineChars="0"/>
              <w:jc w:val="center"/>
              <w:rPr>
                <w:rFonts w:hint="default" w:eastAsia="仿宋"/>
                <w:color w:val="000000"/>
                <w:sz w:val="18"/>
                <w:lang w:val="en-US" w:eastAsia="zh-CN"/>
              </w:rPr>
            </w:pPr>
            <w:r>
              <w:rPr>
                <w:rFonts w:hint="eastAsia"/>
                <w:color w:val="000000"/>
                <w:sz w:val="18"/>
              </w:rPr>
              <w:t>1.</w:t>
            </w:r>
            <w:r>
              <w:rPr>
                <w:rFonts w:hint="eastAsia"/>
                <w:color w:val="000000"/>
                <w:sz w:val="18"/>
                <w:lang w:val="en-US" w:eastAsia="zh-CN"/>
              </w:rPr>
              <w:t>8</w:t>
            </w:r>
            <w:r>
              <w:rPr>
                <w:rFonts w:hint="eastAsia"/>
                <w:color w:val="000000"/>
                <w:sz w:val="18"/>
              </w:rPr>
              <w:t>m×1.</w:t>
            </w:r>
            <w:r>
              <w:rPr>
                <w:rFonts w:hint="eastAsia"/>
                <w:color w:val="000000"/>
                <w:sz w:val="18"/>
                <w:lang w:val="en-US" w:eastAsia="zh-CN"/>
              </w:rPr>
              <w:t>8</w:t>
            </w:r>
            <w:r>
              <w:rPr>
                <w:rFonts w:hint="eastAsia"/>
                <w:color w:val="000000"/>
                <w:sz w:val="18"/>
              </w:rPr>
              <w:t>m</w:t>
            </w:r>
          </w:p>
        </w:tc>
      </w:tr>
    </w:tbl>
    <w:p w14:paraId="30A8E3BD">
      <w:pPr>
        <w:widowControl w:val="0"/>
        <w:spacing w:line="360" w:lineRule="auto"/>
        <w:ind w:firstLine="480" w:firstLineChars="200"/>
        <w:rPr>
          <w:color w:val="000000"/>
        </w:rPr>
      </w:pPr>
      <w:r>
        <w:rPr>
          <w:color w:val="000000"/>
          <w:sz w:val="24"/>
        </w:rPr>
        <w:t>单个支腿传至基础顶面的轴向力标准值为：N'=9.8×N</w:t>
      </w:r>
      <w:r>
        <w:rPr>
          <w:color w:val="000000"/>
          <w:sz w:val="24"/>
          <w:vertAlign w:val="subscript"/>
        </w:rPr>
        <w:t>k</w:t>
      </w:r>
      <w:r>
        <w:rPr>
          <w:color w:val="000000"/>
          <w:sz w:val="24"/>
        </w:rPr>
        <w:t>=9.8×</w:t>
      </w:r>
      <w:r>
        <w:rPr>
          <w:rFonts w:hint="eastAsia"/>
          <w:color w:val="000000"/>
          <w:sz w:val="24"/>
          <w:lang w:val="en-US" w:eastAsia="zh-CN"/>
        </w:rPr>
        <w:t>54.237</w:t>
      </w:r>
      <w:r>
        <w:rPr>
          <w:color w:val="000000"/>
          <w:sz w:val="24"/>
        </w:rPr>
        <w:t>=</w:t>
      </w:r>
      <w:r>
        <w:rPr>
          <w:rFonts w:hint="eastAsia"/>
          <w:color w:val="000000"/>
          <w:sz w:val="24"/>
          <w:lang w:val="en-US" w:eastAsia="zh-CN"/>
        </w:rPr>
        <w:t>531.5226</w:t>
      </w:r>
      <w:r>
        <w:rPr>
          <w:color w:val="000000"/>
          <w:sz w:val="24"/>
        </w:rPr>
        <w:t>kN</w:t>
      </w:r>
    </w:p>
    <w:p w14:paraId="7561BF31">
      <w:pPr>
        <w:widowControl w:val="0"/>
        <w:spacing w:line="360" w:lineRule="auto"/>
        <w:ind w:firstLine="0" w:firstLineChars="0"/>
        <w:rPr>
          <w:color w:val="000000"/>
        </w:rPr>
      </w:pPr>
      <w:r>
        <w:rPr>
          <w:color w:val="000000"/>
          <w:sz w:val="24"/>
        </w:rPr>
        <w:t xml:space="preserve">    单个支腿垫板的底面平均压力p=N'/A</w:t>
      </w:r>
      <w:r>
        <w:rPr>
          <w:color w:val="000000"/>
          <w:sz w:val="24"/>
          <w:vertAlign w:val="subscript"/>
        </w:rPr>
        <w:t>d1</w:t>
      </w:r>
      <w:r>
        <w:rPr>
          <w:color w:val="000000"/>
          <w:sz w:val="24"/>
        </w:rPr>
        <w:t>=</w:t>
      </w:r>
      <w:r>
        <w:rPr>
          <w:rFonts w:hint="eastAsia"/>
          <w:color w:val="000000"/>
          <w:sz w:val="24"/>
          <w:lang w:val="en-US" w:eastAsia="zh-CN"/>
        </w:rPr>
        <w:t>237.1992</w:t>
      </w:r>
      <w:r>
        <w:rPr>
          <w:color w:val="000000"/>
          <w:sz w:val="24"/>
        </w:rPr>
        <w:t>/</w:t>
      </w:r>
      <w:r>
        <w:rPr>
          <w:rFonts w:hint="eastAsia"/>
          <w:color w:val="000000"/>
          <w:sz w:val="24"/>
          <w:lang w:val="en-US" w:eastAsia="zh-CN"/>
        </w:rPr>
        <w:t>3.24</w:t>
      </w:r>
      <w:r>
        <w:rPr>
          <w:color w:val="000000"/>
          <w:sz w:val="24"/>
        </w:rPr>
        <w:t>=</w:t>
      </w:r>
      <w:r>
        <w:rPr>
          <w:rFonts w:hint="eastAsia"/>
          <w:color w:val="000000"/>
          <w:sz w:val="24"/>
          <w:lang w:val="en-US" w:eastAsia="zh-CN"/>
        </w:rPr>
        <w:t>164.05K</w:t>
      </w:r>
      <w:r>
        <w:rPr>
          <w:color w:val="000000"/>
          <w:sz w:val="24"/>
        </w:rPr>
        <w:t>Pa≤f</w:t>
      </w:r>
      <w:r>
        <w:rPr>
          <w:color w:val="000000"/>
          <w:sz w:val="24"/>
          <w:vertAlign w:val="subscript"/>
        </w:rPr>
        <w:t>ak</w:t>
      </w:r>
      <w:r>
        <w:rPr>
          <w:color w:val="000000"/>
          <w:sz w:val="24"/>
        </w:rPr>
        <w:t>=</w:t>
      </w:r>
      <w:r>
        <w:rPr>
          <w:rFonts w:hint="eastAsia"/>
          <w:color w:val="000000"/>
          <w:sz w:val="24"/>
          <w:highlight w:val="none"/>
          <w:lang w:val="en-US" w:eastAsia="zh-CN"/>
        </w:rPr>
        <w:t>215</w:t>
      </w:r>
      <w:r>
        <w:rPr>
          <w:color w:val="000000"/>
          <w:sz w:val="24"/>
          <w:highlight w:val="none"/>
        </w:rPr>
        <w:t>kPa</w:t>
      </w:r>
    </w:p>
    <w:p w14:paraId="77BD4B8D">
      <w:pPr>
        <w:widowControl w:val="0"/>
        <w:spacing w:line="360" w:lineRule="auto"/>
        <w:ind w:firstLine="480" w:firstLineChars="0"/>
        <w:rPr>
          <w:rFonts w:hint="default" w:eastAsia="仿宋"/>
          <w:color w:val="auto"/>
          <w:sz w:val="24"/>
          <w:lang w:val="en-US" w:eastAsia="zh-CN"/>
        </w:rPr>
      </w:pPr>
      <w:r>
        <w:rPr>
          <w:rFonts w:hint="eastAsia"/>
          <w:color w:val="auto"/>
          <w:sz w:val="24"/>
          <w:lang w:val="en-US" w:eastAsia="zh-CN"/>
        </w:rPr>
        <w:t>4#</w:t>
      </w:r>
      <w:r>
        <w:rPr>
          <w:rFonts w:hint="eastAsia"/>
          <w:color w:val="auto"/>
          <w:sz w:val="24"/>
        </w:rPr>
        <w:t>墩</w:t>
      </w:r>
      <w:r>
        <w:rPr>
          <w:rFonts w:hint="eastAsia"/>
          <w:color w:val="auto"/>
          <w:sz w:val="24"/>
          <w:lang w:val="en-US" w:eastAsia="zh-CN"/>
        </w:rPr>
        <w:t>汽车吊站位处,</w:t>
      </w:r>
      <w:r>
        <w:rPr>
          <w:rFonts w:hint="eastAsia"/>
          <w:color w:val="auto"/>
          <w:sz w:val="24"/>
        </w:rPr>
        <w:t>极限承载力</w:t>
      </w:r>
      <w:r>
        <w:rPr>
          <w:rFonts w:hint="eastAsia"/>
          <w:color w:val="auto"/>
          <w:sz w:val="24"/>
          <w:lang w:val="en-US" w:eastAsia="zh-CN"/>
        </w:rPr>
        <w:t>215</w:t>
      </w:r>
      <w:r>
        <w:rPr>
          <w:rFonts w:hint="eastAsia"/>
          <w:color w:val="auto"/>
          <w:sz w:val="24"/>
        </w:rPr>
        <w:t>kpa</w:t>
      </w:r>
      <w:r>
        <w:rPr>
          <w:rFonts w:hint="eastAsia"/>
          <w:color w:val="auto"/>
          <w:sz w:val="24"/>
          <w:lang w:val="en-US" w:eastAsia="zh-CN"/>
        </w:rPr>
        <w:t>≥164.05</w:t>
      </w:r>
      <w:r>
        <w:rPr>
          <w:rFonts w:hint="eastAsia"/>
          <w:color w:val="000000"/>
          <w:sz w:val="24"/>
          <w:lang w:val="en-US" w:eastAsia="zh-CN"/>
        </w:rPr>
        <w:t>K</w:t>
      </w:r>
      <w:r>
        <w:rPr>
          <w:color w:val="auto"/>
          <w:sz w:val="24"/>
        </w:rPr>
        <w:t>Pa</w:t>
      </w:r>
      <w:r>
        <w:rPr>
          <w:rFonts w:hint="eastAsia"/>
          <w:color w:val="auto"/>
          <w:sz w:val="24"/>
          <w:lang w:eastAsia="zh-CN"/>
        </w:rPr>
        <w:t>，</w:t>
      </w:r>
      <w:r>
        <w:rPr>
          <w:rFonts w:hint="eastAsia"/>
          <w:color w:val="auto"/>
          <w:sz w:val="24"/>
          <w:lang w:val="en-US" w:eastAsia="zh-CN"/>
        </w:rPr>
        <w:t>满足要求。</w:t>
      </w:r>
    </w:p>
    <w:p w14:paraId="5916E7F9">
      <w:pPr>
        <w:pStyle w:val="4"/>
        <w:tabs>
          <w:tab w:val="left" w:pos="0"/>
          <w:tab w:val="left" w:pos="630"/>
        </w:tabs>
        <w:rPr>
          <w:b/>
          <w:bCs w:val="0"/>
          <w:color w:val="auto"/>
        </w:rPr>
      </w:pPr>
      <w:r>
        <w:rPr>
          <w:rFonts w:hint="eastAsia"/>
          <w:b/>
          <w:bCs w:val="0"/>
          <w:color w:val="auto"/>
        </w:rPr>
        <w:t>吊装钢丝绳</w:t>
      </w:r>
      <w:r>
        <w:rPr>
          <w:rFonts w:hint="eastAsia"/>
          <w:b/>
          <w:bCs w:val="0"/>
          <w:color w:val="auto"/>
          <w:lang w:val="en-US" w:eastAsia="zh-CN"/>
        </w:rPr>
        <w:t>及卸扣</w:t>
      </w:r>
      <w:r>
        <w:rPr>
          <w:rFonts w:hint="eastAsia"/>
          <w:b/>
          <w:bCs w:val="0"/>
          <w:color w:val="auto"/>
        </w:rPr>
        <w:t>选型</w:t>
      </w:r>
    </w:p>
    <w:p w14:paraId="1711F0C2">
      <w:pPr>
        <w:widowControl w:val="0"/>
        <w:rPr>
          <w:rFonts w:hint="eastAsia"/>
          <w:bCs/>
          <w:color w:val="000000"/>
        </w:rPr>
      </w:pPr>
      <w:r>
        <w:rPr>
          <w:rFonts w:hint="eastAsia"/>
          <w:bCs/>
          <w:color w:val="000000"/>
        </w:rPr>
        <w:t>钢丝绳选型依据</w:t>
      </w:r>
    </w:p>
    <w:p w14:paraId="264DEE63">
      <w:pPr>
        <w:widowControl w:val="0"/>
        <w:rPr>
          <w:rFonts w:hint="eastAsia"/>
          <w:bCs/>
          <w:color w:val="000000"/>
        </w:rPr>
      </w:pPr>
      <w:r>
        <w:rPr>
          <w:rFonts w:hint="eastAsia"/>
          <w:bCs/>
          <w:color w:val="000000"/>
        </w:rPr>
        <w:t>根据起吊重量选择相对应的钢丝绳和卸扣。</w:t>
      </w:r>
    </w:p>
    <w:p w14:paraId="16BF1061">
      <w:pPr>
        <w:widowControl w:val="0"/>
        <w:rPr>
          <w:rFonts w:hint="eastAsia"/>
          <w:bCs/>
          <w:color w:val="000000"/>
        </w:rPr>
      </w:pPr>
      <w:r>
        <w:rPr>
          <w:rFonts w:hint="eastAsia"/>
          <w:bCs/>
          <w:color w:val="000000"/>
        </w:rPr>
        <w:t>有对称分布的与垂直方向具有相同角度的单肢吊索组成的多肢吊索的工作荷载按《一般用途钢丝绳吊索特性和技术条件》公式计算：</w:t>
      </w:r>
    </w:p>
    <w:p w14:paraId="3AE4067F">
      <w:pPr>
        <w:widowControl w:val="0"/>
        <w:rPr>
          <w:rFonts w:hint="eastAsia"/>
          <w:bCs/>
          <w:color w:val="000000"/>
        </w:rPr>
      </w:pPr>
      <m:oMathPara>
        <m:oMath>
          <m:r>
            <m:rPr>
              <m:nor/>
              <m:sty m:val="p"/>
            </m:rPr>
            <w:rPr>
              <w:rFonts w:hint="eastAsia" w:ascii="Times New Roman" w:hAnsi="Times New Roman"/>
              <w:b w:val="0"/>
              <w:bCs/>
              <w:i w:val="0"/>
              <w:color w:val="000000"/>
            </w:rPr>
            <m:t>WLL=</m:t>
          </m:r>
          <m:sSub>
            <m:sSubPr>
              <m:ctrlPr>
                <w:rPr>
                  <w:rFonts w:hint="eastAsia" w:ascii="Cambria Math" w:hAnsi="Cambria Math"/>
                  <w:bCs/>
                  <w:color w:val="000000"/>
                </w:rPr>
              </m:ctrlPr>
            </m:sSubPr>
            <m:e>
              <m:r>
                <m:rPr>
                  <m:nor/>
                  <m:sty m:val="p"/>
                </m:rPr>
                <w:rPr>
                  <w:rFonts w:hint="eastAsia" w:ascii="Times New Roman" w:hAnsi="Times New Roman"/>
                  <w:b w:val="0"/>
                  <w:bCs/>
                  <w:i w:val="0"/>
                  <w:color w:val="000000"/>
                </w:rPr>
                <m:t>F</m:t>
              </m:r>
              <m:ctrlPr>
                <w:rPr>
                  <w:rFonts w:hint="eastAsia" w:ascii="Cambria Math" w:hAnsi="Cambria Math"/>
                  <w:bCs/>
                  <w:color w:val="000000"/>
                </w:rPr>
              </m:ctrlPr>
            </m:e>
            <m:sub>
              <m:r>
                <m:rPr>
                  <m:nor/>
                  <m:sty m:val="p"/>
                </m:rPr>
                <w:rPr>
                  <w:rFonts w:hint="eastAsia" w:ascii="Times New Roman" w:hAnsi="Times New Roman"/>
                  <w:b w:val="0"/>
                  <w:bCs/>
                  <w:i w:val="0"/>
                  <w:color w:val="000000"/>
                </w:rPr>
                <m:t>0</m:t>
              </m:r>
              <m:ctrlPr>
                <w:rPr>
                  <w:rFonts w:hint="eastAsia" w:ascii="Cambria Math" w:hAnsi="Cambria Math"/>
                  <w:bCs/>
                  <w:color w:val="000000"/>
                </w:rPr>
              </m:ctrlPr>
            </m:sub>
          </m:sSub>
          <m:r>
            <m:rPr>
              <m:nor/>
              <m:sty m:val="p"/>
            </m:rPr>
            <w:rPr>
              <w:rFonts w:hint="eastAsia" w:ascii="Times New Roman" w:hAnsi="Times New Roman"/>
              <w:b w:val="0"/>
              <w:bCs/>
              <w:i w:val="0"/>
              <w:color w:val="000000"/>
            </w:rPr>
            <m:t>×</m:t>
          </m:r>
          <m:sSub>
            <m:sSubPr>
              <m:ctrlPr>
                <w:rPr>
                  <w:rFonts w:hint="eastAsia" w:ascii="Cambria Math" w:hAnsi="Cambria Math"/>
                  <w:bCs/>
                  <w:color w:val="000000"/>
                </w:rPr>
              </m:ctrlPr>
            </m:sSubPr>
            <m:e>
              <m:r>
                <m:rPr>
                  <m:nor/>
                  <m:sty m:val="p"/>
                </m:rPr>
                <w:rPr>
                  <w:rFonts w:hint="eastAsia" w:ascii="Times New Roman" w:hAnsi="Times New Roman"/>
                  <w:b w:val="0"/>
                  <w:bCs/>
                  <w:i w:val="0"/>
                  <w:color w:val="000000"/>
                </w:rPr>
                <m:t>K</m:t>
              </m:r>
              <m:ctrlPr>
                <w:rPr>
                  <w:rFonts w:hint="eastAsia" w:ascii="Cambria Math" w:hAnsi="Cambria Math"/>
                  <w:bCs/>
                  <w:color w:val="000000"/>
                </w:rPr>
              </m:ctrlPr>
            </m:e>
            <m:sub>
              <m:r>
                <m:rPr>
                  <m:nor/>
                  <m:sty m:val="p"/>
                </m:rPr>
                <w:rPr>
                  <w:rFonts w:hint="eastAsia" w:ascii="Times New Roman" w:hAnsi="Times New Roman"/>
                  <w:b w:val="0"/>
                  <w:bCs/>
                  <w:i w:val="0"/>
                  <w:color w:val="000000"/>
                </w:rPr>
                <m:t>e</m:t>
              </m:r>
              <m:ctrlPr>
                <w:rPr>
                  <w:rFonts w:hint="eastAsia" w:ascii="Cambria Math" w:hAnsi="Cambria Math"/>
                  <w:bCs/>
                  <w:color w:val="000000"/>
                </w:rPr>
              </m:ctrlPr>
            </m:sub>
          </m:sSub>
          <m:r>
            <m:rPr>
              <m:nor/>
              <m:sty m:val="p"/>
            </m:rPr>
            <w:rPr>
              <w:rFonts w:hint="eastAsia" w:ascii="Times New Roman" w:hAnsi="Times New Roman"/>
              <w:b w:val="0"/>
              <w:bCs/>
              <w:i w:val="0"/>
              <w:color w:val="000000"/>
            </w:rPr>
            <m:t>×K÷</m:t>
          </m:r>
          <m:d>
            <m:dPr>
              <m:ctrlPr>
                <w:rPr>
                  <w:rFonts w:hint="eastAsia" w:ascii="Cambria Math" w:hAnsi="Cambria Math"/>
                  <w:bCs/>
                  <w:color w:val="000000"/>
                </w:rPr>
              </m:ctrlPr>
            </m:dPr>
            <m:e>
              <m:sSub>
                <m:sSubPr>
                  <m:ctrlPr>
                    <w:rPr>
                      <w:rFonts w:hint="eastAsia" w:ascii="Cambria Math" w:hAnsi="Cambria Math"/>
                      <w:bCs/>
                      <w:color w:val="000000"/>
                    </w:rPr>
                  </m:ctrlPr>
                </m:sSubPr>
                <m:e>
                  <m:r>
                    <m:rPr>
                      <m:nor/>
                      <m:sty m:val="p"/>
                    </m:rPr>
                    <w:rPr>
                      <w:rFonts w:hint="eastAsia" w:ascii="Times New Roman" w:hAnsi="Times New Roman"/>
                      <w:b w:val="0"/>
                      <w:bCs/>
                      <w:i w:val="0"/>
                      <w:color w:val="000000"/>
                    </w:rPr>
                    <m:t>K</m:t>
                  </m:r>
                  <m:ctrlPr>
                    <w:rPr>
                      <w:rFonts w:hint="eastAsia" w:ascii="Cambria Math" w:hAnsi="Cambria Math"/>
                      <w:bCs/>
                      <w:color w:val="000000"/>
                    </w:rPr>
                  </m:ctrlPr>
                </m:e>
                <m:sub>
                  <m:r>
                    <m:rPr>
                      <m:nor/>
                      <m:sty m:val="p"/>
                    </m:rPr>
                    <w:rPr>
                      <w:rFonts w:hint="eastAsia" w:ascii="Times New Roman" w:hAnsi="Times New Roman"/>
                      <w:b w:val="0"/>
                      <w:bCs/>
                      <w:i w:val="0"/>
                      <w:color w:val="000000"/>
                    </w:rPr>
                    <m:t>m</m:t>
                  </m:r>
                  <m:ctrlPr>
                    <w:rPr>
                      <w:rFonts w:hint="eastAsia" w:ascii="Cambria Math" w:hAnsi="Cambria Math"/>
                      <w:bCs/>
                      <w:color w:val="000000"/>
                    </w:rPr>
                  </m:ctrlPr>
                </m:sub>
              </m:sSub>
              <m:r>
                <m:rPr>
                  <m:nor/>
                  <m:sty m:val="p"/>
                </m:rPr>
                <w:rPr>
                  <w:rFonts w:hint="eastAsia" w:ascii="Times New Roman" w:hAnsi="Times New Roman"/>
                  <w:b w:val="0"/>
                  <w:bCs/>
                  <w:i w:val="0"/>
                  <w:color w:val="000000"/>
                </w:rPr>
                <m:t>×</m:t>
              </m:r>
              <m:sSub>
                <m:sSubPr>
                  <m:ctrlPr>
                    <w:rPr>
                      <w:rFonts w:hint="eastAsia" w:ascii="Cambria Math" w:hAnsi="Cambria Math"/>
                      <w:bCs/>
                      <w:color w:val="000000"/>
                    </w:rPr>
                  </m:ctrlPr>
                </m:sSubPr>
                <m:e>
                  <m:r>
                    <m:rPr>
                      <m:nor/>
                      <m:sty m:val="p"/>
                    </m:rPr>
                    <w:rPr>
                      <w:rFonts w:hint="eastAsia" w:ascii="Times New Roman" w:hAnsi="Times New Roman"/>
                      <w:b w:val="0"/>
                      <w:bCs/>
                      <w:i w:val="0"/>
                      <w:color w:val="000000"/>
                    </w:rPr>
                    <m:t>K</m:t>
                  </m:r>
                  <m:ctrlPr>
                    <w:rPr>
                      <w:rFonts w:hint="eastAsia" w:ascii="Cambria Math" w:hAnsi="Cambria Math"/>
                      <w:bCs/>
                      <w:color w:val="000000"/>
                    </w:rPr>
                  </m:ctrlPr>
                </m:e>
                <m:sub>
                  <m:r>
                    <m:rPr>
                      <m:nor/>
                      <m:sty m:val="p"/>
                    </m:rPr>
                    <w:rPr>
                      <w:rFonts w:hint="eastAsia" w:ascii="Times New Roman" w:hAnsi="Times New Roman"/>
                      <w:b w:val="0"/>
                      <w:bCs/>
                      <w:i w:val="0"/>
                      <w:color w:val="000000"/>
                    </w:rPr>
                    <m:t>u</m:t>
                  </m:r>
                  <m:ctrlPr>
                    <w:rPr>
                      <w:rFonts w:hint="eastAsia" w:ascii="Cambria Math" w:hAnsi="Cambria Math"/>
                      <w:bCs/>
                      <w:color w:val="000000"/>
                    </w:rPr>
                  </m:ctrlPr>
                </m:sub>
              </m:sSub>
              <m:ctrlPr>
                <w:rPr>
                  <w:rFonts w:hint="eastAsia" w:ascii="Cambria Math" w:hAnsi="Cambria Math"/>
                  <w:bCs/>
                  <w:color w:val="000000"/>
                </w:rPr>
              </m:ctrlPr>
            </m:e>
          </m:d>
        </m:oMath>
      </m:oMathPara>
    </w:p>
    <w:p w14:paraId="23A77259">
      <w:pPr>
        <w:widowControl w:val="0"/>
        <w:rPr>
          <w:rFonts w:hint="eastAsia"/>
          <w:bCs/>
          <w:color w:val="000000"/>
        </w:rPr>
      </w:pPr>
      <w:r>
        <w:rPr>
          <w:rFonts w:hint="eastAsia"/>
          <w:bCs/>
          <w:color w:val="000000"/>
        </w:rPr>
        <w:t>式中：</w:t>
      </w:r>
    </w:p>
    <w:tbl>
      <w:tblPr>
        <w:tblStyle w:val="1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3"/>
        <w:gridCol w:w="1196"/>
        <w:gridCol w:w="7951"/>
      </w:tblGrid>
      <w:tr w14:paraId="62FCA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69DA7D79">
            <w:pPr>
              <w:widowControl w:val="0"/>
              <w:rPr>
                <w:rFonts w:hint="eastAsia"/>
                <w:bCs/>
                <w:color w:val="000000"/>
              </w:rPr>
            </w:pPr>
          </w:p>
        </w:tc>
        <w:tc>
          <w:tcPr>
            <w:tcW w:w="850" w:type="dxa"/>
          </w:tcPr>
          <w:p w14:paraId="7E0C6D2F">
            <w:pPr>
              <w:widowControl w:val="0"/>
              <w:rPr>
                <w:rFonts w:hint="eastAsia"/>
                <w:bCs/>
                <w:color w:val="000000"/>
              </w:rPr>
            </w:pPr>
            <w:r>
              <w:rPr>
                <w:rFonts w:hint="eastAsia"/>
                <w:bCs/>
                <w:color w:val="000000"/>
              </w:rPr>
              <w:t>WLL</w:t>
            </w:r>
          </w:p>
        </w:tc>
        <w:tc>
          <w:tcPr>
            <w:tcW w:w="8048" w:type="dxa"/>
          </w:tcPr>
          <w:p w14:paraId="3DC5A94C">
            <w:pPr>
              <w:widowControl w:val="0"/>
              <w:rPr>
                <w:rFonts w:hint="eastAsia"/>
                <w:bCs/>
                <w:color w:val="000000"/>
              </w:rPr>
            </w:pPr>
            <w:r>
              <w:rPr>
                <w:rFonts w:hint="eastAsia"/>
                <w:bCs/>
                <w:color w:val="000000"/>
              </w:rPr>
              <w:t>——吊索额定工作荷载，单位为t；</w:t>
            </w:r>
          </w:p>
        </w:tc>
      </w:tr>
      <w:tr w14:paraId="6140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10B76A0A">
            <w:pPr>
              <w:widowControl w:val="0"/>
              <w:rPr>
                <w:rFonts w:hint="eastAsia"/>
                <w:bCs/>
                <w:color w:val="000000"/>
              </w:rPr>
            </w:pPr>
          </w:p>
        </w:tc>
        <w:tc>
          <w:tcPr>
            <w:tcW w:w="850" w:type="dxa"/>
          </w:tcPr>
          <w:p w14:paraId="676BBA5A">
            <w:pPr>
              <w:widowControl w:val="0"/>
              <w:rPr>
                <w:rFonts w:hint="eastAsia"/>
                <w:bCs/>
                <w:color w:val="000000"/>
              </w:rPr>
            </w:pPr>
            <w:r>
              <w:rPr>
                <w:rFonts w:hint="eastAsia"/>
                <w:bCs/>
                <w:color w:val="000000"/>
              </w:rPr>
              <w:t>F0</w:t>
            </w:r>
          </w:p>
        </w:tc>
        <w:tc>
          <w:tcPr>
            <w:tcW w:w="8048" w:type="dxa"/>
          </w:tcPr>
          <w:p w14:paraId="2AD8FBCB">
            <w:pPr>
              <w:widowControl w:val="0"/>
              <w:rPr>
                <w:rFonts w:hint="eastAsia"/>
                <w:bCs/>
                <w:color w:val="000000"/>
              </w:rPr>
            </w:pPr>
            <w:r>
              <w:rPr>
                <w:rFonts w:hint="eastAsia"/>
                <w:bCs/>
                <w:color w:val="000000"/>
              </w:rPr>
              <w:t>——钢丝绳最小破断拉力，单位为kN；</w:t>
            </w:r>
          </w:p>
        </w:tc>
      </w:tr>
      <w:tr w14:paraId="57B9E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7DB79356">
            <w:pPr>
              <w:widowControl w:val="0"/>
              <w:rPr>
                <w:rFonts w:hint="eastAsia"/>
                <w:bCs/>
                <w:color w:val="000000"/>
              </w:rPr>
            </w:pPr>
          </w:p>
        </w:tc>
        <w:tc>
          <w:tcPr>
            <w:tcW w:w="850" w:type="dxa"/>
          </w:tcPr>
          <w:p w14:paraId="069C5264">
            <w:pPr>
              <w:widowControl w:val="0"/>
              <w:rPr>
                <w:rFonts w:hint="eastAsia"/>
                <w:bCs/>
                <w:color w:val="000000"/>
              </w:rPr>
            </w:pPr>
            <w:r>
              <w:rPr>
                <w:rFonts w:hint="eastAsia"/>
                <w:bCs/>
                <w:color w:val="000000"/>
              </w:rPr>
              <w:t>Ke</w:t>
            </w:r>
          </w:p>
        </w:tc>
        <w:tc>
          <w:tcPr>
            <w:tcW w:w="8048" w:type="dxa"/>
          </w:tcPr>
          <w:p w14:paraId="36117B74">
            <w:pPr>
              <w:widowControl w:val="0"/>
              <w:rPr>
                <w:rFonts w:hint="eastAsia"/>
                <w:bCs/>
                <w:color w:val="000000"/>
              </w:rPr>
            </w:pPr>
            <w:r>
              <w:rPr>
                <w:rFonts w:hint="eastAsia"/>
                <w:bCs/>
                <w:color w:val="000000"/>
              </w:rPr>
              <w:t>——接头形式效能近似系数，压制接头取0.9，插编接头取0.75；</w:t>
            </w:r>
          </w:p>
        </w:tc>
      </w:tr>
      <w:tr w14:paraId="11CA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11395F37">
            <w:pPr>
              <w:widowControl w:val="0"/>
              <w:rPr>
                <w:rFonts w:hint="eastAsia"/>
                <w:bCs/>
                <w:color w:val="000000"/>
              </w:rPr>
            </w:pPr>
          </w:p>
        </w:tc>
        <w:tc>
          <w:tcPr>
            <w:tcW w:w="850" w:type="dxa"/>
          </w:tcPr>
          <w:p w14:paraId="61067115">
            <w:pPr>
              <w:widowControl w:val="0"/>
              <w:rPr>
                <w:rFonts w:hint="eastAsia"/>
                <w:bCs/>
                <w:color w:val="000000"/>
              </w:rPr>
            </w:pPr>
            <w:r>
              <w:rPr>
                <w:rFonts w:hint="eastAsia"/>
                <w:bCs/>
                <w:color w:val="000000"/>
              </w:rPr>
              <w:t>K</w:t>
            </w:r>
          </w:p>
        </w:tc>
        <w:tc>
          <w:tcPr>
            <w:tcW w:w="8048" w:type="dxa"/>
          </w:tcPr>
          <w:p w14:paraId="4F2D23FF">
            <w:pPr>
              <w:widowControl w:val="0"/>
              <w:rPr>
                <w:rFonts w:hint="eastAsia"/>
                <w:bCs/>
                <w:color w:val="000000"/>
              </w:rPr>
            </w:pPr>
            <w:r>
              <w:rPr>
                <w:rFonts w:hint="eastAsia"/>
                <w:bCs/>
                <w:color w:val="000000"/>
              </w:rPr>
              <w:t>——肢的数量与垂直方向角度的相关系数，两肢吊索取1.4，3～4肢吊索取2.1；</w:t>
            </w:r>
          </w:p>
        </w:tc>
      </w:tr>
      <w:tr w14:paraId="7E36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2A4DD0C3">
            <w:pPr>
              <w:widowControl w:val="0"/>
              <w:rPr>
                <w:rFonts w:hint="eastAsia"/>
                <w:bCs/>
                <w:color w:val="000000"/>
              </w:rPr>
            </w:pPr>
          </w:p>
        </w:tc>
        <w:tc>
          <w:tcPr>
            <w:tcW w:w="850" w:type="dxa"/>
          </w:tcPr>
          <w:p w14:paraId="064E999E">
            <w:pPr>
              <w:widowControl w:val="0"/>
              <w:rPr>
                <w:rFonts w:hint="eastAsia"/>
                <w:bCs/>
                <w:color w:val="000000"/>
              </w:rPr>
            </w:pPr>
            <w:r>
              <w:rPr>
                <w:rFonts w:hint="eastAsia"/>
                <w:bCs/>
                <w:color w:val="000000"/>
              </w:rPr>
              <w:t>Ku</w:t>
            </w:r>
          </w:p>
        </w:tc>
        <w:tc>
          <w:tcPr>
            <w:tcW w:w="8048" w:type="dxa"/>
          </w:tcPr>
          <w:p w14:paraId="1067EE89">
            <w:pPr>
              <w:widowControl w:val="0"/>
              <w:rPr>
                <w:rFonts w:hint="eastAsia"/>
                <w:bCs/>
                <w:color w:val="000000"/>
              </w:rPr>
            </w:pPr>
            <w:r>
              <w:rPr>
                <w:rFonts w:hint="eastAsia"/>
                <w:bCs/>
                <w:color w:val="000000"/>
              </w:rPr>
              <w:t>——安全系数，一般取6；</w:t>
            </w:r>
          </w:p>
        </w:tc>
      </w:tr>
      <w:tr w14:paraId="1B8B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13267078">
            <w:pPr>
              <w:widowControl w:val="0"/>
              <w:rPr>
                <w:rFonts w:hint="eastAsia"/>
                <w:bCs/>
                <w:color w:val="000000"/>
              </w:rPr>
            </w:pPr>
          </w:p>
        </w:tc>
        <w:tc>
          <w:tcPr>
            <w:tcW w:w="850" w:type="dxa"/>
          </w:tcPr>
          <w:p w14:paraId="44B5552E">
            <w:pPr>
              <w:widowControl w:val="0"/>
              <w:rPr>
                <w:rFonts w:hint="eastAsia"/>
                <w:bCs/>
                <w:color w:val="000000"/>
              </w:rPr>
            </w:pPr>
            <w:r>
              <w:rPr>
                <w:rFonts w:hint="eastAsia"/>
                <w:bCs/>
                <w:color w:val="000000"/>
              </w:rPr>
              <w:t>Km</w:t>
            </w:r>
          </w:p>
        </w:tc>
        <w:tc>
          <w:tcPr>
            <w:tcW w:w="8048" w:type="dxa"/>
          </w:tcPr>
          <w:p w14:paraId="7B919847">
            <w:pPr>
              <w:widowControl w:val="0"/>
              <w:rPr>
                <w:rFonts w:hint="eastAsia"/>
                <w:bCs/>
                <w:color w:val="000000"/>
              </w:rPr>
            </w:pPr>
            <w:r>
              <w:rPr>
                <w:rFonts w:hint="eastAsia"/>
                <w:bCs/>
                <w:color w:val="000000"/>
              </w:rPr>
              <w:t>——质量与力的转换系数，取值为9.80665。</w:t>
            </w:r>
          </w:p>
        </w:tc>
      </w:tr>
      <w:tr w14:paraId="07BB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607ACC43">
            <w:pPr>
              <w:widowControl w:val="0"/>
              <w:rPr>
                <w:rFonts w:hint="eastAsia"/>
                <w:bCs/>
                <w:color w:val="000000"/>
              </w:rPr>
            </w:pPr>
          </w:p>
        </w:tc>
        <w:tc>
          <w:tcPr>
            <w:tcW w:w="850" w:type="dxa"/>
          </w:tcPr>
          <w:p w14:paraId="61FAFD8E">
            <w:pPr>
              <w:widowControl w:val="0"/>
              <w:rPr>
                <w:rFonts w:hint="eastAsia"/>
                <w:bCs/>
                <w:color w:val="000000"/>
              </w:rPr>
            </w:pPr>
          </w:p>
        </w:tc>
        <w:tc>
          <w:tcPr>
            <w:tcW w:w="8048" w:type="dxa"/>
          </w:tcPr>
          <w:p w14:paraId="74DE1AE8">
            <w:pPr>
              <w:widowControl w:val="0"/>
              <w:rPr>
                <w:rFonts w:hint="eastAsia"/>
                <w:bCs/>
                <w:color w:val="000000"/>
              </w:rPr>
            </w:pPr>
            <w:r>
              <w:rPr>
                <w:rFonts w:hint="eastAsia"/>
                <w:bCs/>
                <w:color w:val="000000"/>
              </w:rPr>
              <w:t>动载系数取1.1</w:t>
            </w:r>
          </w:p>
        </w:tc>
      </w:tr>
    </w:tbl>
    <w:p w14:paraId="32B3358E">
      <w:pPr>
        <w:widowControl w:val="0"/>
        <w:rPr>
          <w:rFonts w:hint="eastAsia"/>
          <w:bCs/>
          <w:color w:val="000000"/>
        </w:rPr>
      </w:pPr>
      <w:r>
        <w:rPr>
          <w:rFonts w:hint="eastAsia"/>
          <w:bCs/>
          <w:color w:val="000000"/>
        </w:rPr>
        <w:t>钢丝绳最小破断拉力按《重要用途钢丝绳》公式计算：</w:t>
      </w:r>
    </w:p>
    <w:p w14:paraId="201A4415">
      <w:pPr>
        <w:widowControl w:val="0"/>
        <w:rPr>
          <w:rFonts w:hint="eastAsia"/>
          <w:bCs/>
          <w:color w:val="000000"/>
        </w:rPr>
      </w:pPr>
      <m:oMathPara>
        <m:oMath>
          <m:sSub>
            <m:sSubPr>
              <m:ctrlPr>
                <w:rPr>
                  <w:rFonts w:hint="eastAsia" w:ascii="Cambria Math" w:hAnsi="Cambria Math"/>
                  <w:bCs/>
                  <w:color w:val="000000"/>
                </w:rPr>
              </m:ctrlPr>
            </m:sSubPr>
            <m:e>
              <m:r>
                <m:rPr>
                  <m:nor/>
                  <m:sty m:val="p"/>
                </m:rPr>
                <w:rPr>
                  <w:rFonts w:hint="eastAsia" w:ascii="Times New Roman" w:hAnsi="Times New Roman"/>
                  <w:b w:val="0"/>
                  <w:bCs/>
                  <w:i w:val="0"/>
                  <w:color w:val="000000"/>
                </w:rPr>
                <m:t>F</m:t>
              </m:r>
              <m:ctrlPr>
                <w:rPr>
                  <w:rFonts w:hint="eastAsia" w:ascii="Cambria Math" w:hAnsi="Cambria Math"/>
                  <w:bCs/>
                  <w:color w:val="000000"/>
                </w:rPr>
              </m:ctrlPr>
            </m:e>
            <m:sub>
              <m:r>
                <m:rPr>
                  <m:nor/>
                  <m:sty m:val="p"/>
                </m:rPr>
                <w:rPr>
                  <w:rFonts w:hint="eastAsia" w:ascii="Times New Roman" w:hAnsi="Times New Roman"/>
                  <w:b w:val="0"/>
                  <w:bCs/>
                  <w:i w:val="0"/>
                  <w:color w:val="000000"/>
                </w:rPr>
                <m:t>0</m:t>
              </m:r>
              <m:ctrlPr>
                <w:rPr>
                  <w:rFonts w:hint="eastAsia" w:ascii="Cambria Math" w:hAnsi="Cambria Math"/>
                  <w:bCs/>
                  <w:color w:val="000000"/>
                </w:rPr>
              </m:ctrlPr>
            </m:sub>
          </m:sSub>
          <m:r>
            <m:rPr>
              <m:nor/>
              <m:sty m:val="p"/>
            </m:rPr>
            <w:rPr>
              <w:rFonts w:hint="eastAsia" w:ascii="Times New Roman" w:hAnsi="Times New Roman"/>
              <w:b w:val="0"/>
              <w:bCs/>
              <w:i w:val="0"/>
              <w:color w:val="000000"/>
            </w:rPr>
            <m:t>=</m:t>
          </m:r>
          <m:sSup>
            <m:sSupPr>
              <m:ctrlPr>
                <w:rPr>
                  <w:rFonts w:hint="eastAsia" w:ascii="Cambria Math" w:hAnsi="Cambria Math"/>
                  <w:bCs/>
                  <w:color w:val="000000"/>
                </w:rPr>
              </m:ctrlPr>
            </m:sSupPr>
            <m:e>
              <m:r>
                <m:rPr>
                  <m:nor/>
                  <m:sty m:val="p"/>
                </m:rPr>
                <w:rPr>
                  <w:rFonts w:hint="eastAsia" w:ascii="Times New Roman" w:hAnsi="Times New Roman"/>
                  <w:b w:val="0"/>
                  <w:bCs/>
                  <w:i w:val="0"/>
                  <w:color w:val="000000"/>
                </w:rPr>
                <m:t>K</m:t>
              </m:r>
              <m:ctrlPr>
                <w:rPr>
                  <w:rFonts w:hint="eastAsia" w:ascii="Cambria Math" w:hAnsi="Cambria Math"/>
                  <w:bCs/>
                  <w:color w:val="000000"/>
                </w:rPr>
              </m:ctrlPr>
            </m:e>
            <m:sup>
              <m:r>
                <m:rPr>
                  <m:nor/>
                  <m:sty m:val="p"/>
                </m:rPr>
                <w:rPr>
                  <w:rFonts w:hint="eastAsia" w:ascii="Times New Roman" w:hAnsi="Times New Roman"/>
                  <w:b w:val="0"/>
                  <w:bCs/>
                  <w:i w:val="0"/>
                  <w:color w:val="000000"/>
                </w:rPr>
                <m:t>'</m:t>
              </m:r>
              <m:ctrlPr>
                <w:rPr>
                  <w:rFonts w:hint="eastAsia" w:ascii="Cambria Math" w:hAnsi="Cambria Math"/>
                  <w:bCs/>
                  <w:color w:val="000000"/>
                </w:rPr>
              </m:ctrlPr>
            </m:sup>
          </m:sSup>
          <m:r>
            <m:rPr>
              <m:nor/>
              <m:sty m:val="p"/>
            </m:rPr>
            <w:rPr>
              <w:rFonts w:hint="eastAsia" w:ascii="Times New Roman" w:hAnsi="Times New Roman"/>
              <w:b w:val="0"/>
              <w:bCs/>
              <w:i w:val="0"/>
              <w:color w:val="000000"/>
            </w:rPr>
            <m:t>×</m:t>
          </m:r>
          <m:sSup>
            <m:sSupPr>
              <m:ctrlPr>
                <w:rPr>
                  <w:rFonts w:hint="eastAsia" w:ascii="Cambria Math" w:hAnsi="Cambria Math"/>
                  <w:bCs/>
                  <w:color w:val="000000"/>
                </w:rPr>
              </m:ctrlPr>
            </m:sSupPr>
            <m:e>
              <m:r>
                <m:rPr>
                  <m:nor/>
                  <m:sty m:val="p"/>
                </m:rPr>
                <w:rPr>
                  <w:rFonts w:hint="eastAsia" w:ascii="Times New Roman" w:hAnsi="Times New Roman"/>
                  <w:b w:val="0"/>
                  <w:bCs/>
                  <w:i w:val="0"/>
                  <w:color w:val="000000"/>
                </w:rPr>
                <m:t>D</m:t>
              </m:r>
              <m:ctrlPr>
                <w:rPr>
                  <w:rFonts w:hint="eastAsia" w:ascii="Cambria Math" w:hAnsi="Cambria Math"/>
                  <w:bCs/>
                  <w:color w:val="000000"/>
                </w:rPr>
              </m:ctrlPr>
            </m:e>
            <m:sup>
              <m:r>
                <m:rPr>
                  <m:nor/>
                  <m:sty m:val="p"/>
                </m:rPr>
                <w:rPr>
                  <w:rFonts w:hint="eastAsia" w:ascii="Times New Roman" w:hAnsi="Times New Roman"/>
                  <w:b w:val="0"/>
                  <w:bCs/>
                  <w:i w:val="0"/>
                  <w:color w:val="000000"/>
                </w:rPr>
                <m:t>2</m:t>
              </m:r>
              <m:ctrlPr>
                <w:rPr>
                  <w:rFonts w:hint="eastAsia" w:ascii="Cambria Math" w:hAnsi="Cambria Math"/>
                  <w:bCs/>
                  <w:color w:val="000000"/>
                </w:rPr>
              </m:ctrlPr>
            </m:sup>
          </m:sSup>
          <m:r>
            <m:rPr>
              <m:nor/>
              <m:sty m:val="p"/>
            </m:rPr>
            <w:rPr>
              <w:rFonts w:hint="eastAsia" w:ascii="Times New Roman" w:hAnsi="Times New Roman"/>
              <w:b w:val="0"/>
              <w:bCs/>
              <w:i w:val="0"/>
              <w:color w:val="000000"/>
            </w:rPr>
            <m:t>×</m:t>
          </m:r>
          <m:sSub>
            <m:sSubPr>
              <m:ctrlPr>
                <w:rPr>
                  <w:rFonts w:hint="eastAsia" w:ascii="Cambria Math" w:hAnsi="Cambria Math"/>
                  <w:bCs/>
                  <w:color w:val="000000"/>
                </w:rPr>
              </m:ctrlPr>
            </m:sSubPr>
            <m:e>
              <m:r>
                <m:rPr>
                  <m:nor/>
                  <m:sty m:val="p"/>
                </m:rPr>
                <w:rPr>
                  <w:rFonts w:hint="eastAsia" w:ascii="Times New Roman" w:hAnsi="Times New Roman"/>
                  <w:b w:val="0"/>
                  <w:bCs/>
                  <w:i w:val="0"/>
                  <w:color w:val="000000"/>
                </w:rPr>
                <m:t>R</m:t>
              </m:r>
              <m:ctrlPr>
                <w:rPr>
                  <w:rFonts w:hint="eastAsia" w:ascii="Cambria Math" w:hAnsi="Cambria Math"/>
                  <w:bCs/>
                  <w:color w:val="000000"/>
                </w:rPr>
              </m:ctrlPr>
            </m:e>
            <m:sub>
              <m:r>
                <m:rPr>
                  <m:nor/>
                  <m:sty m:val="p"/>
                </m:rPr>
                <w:rPr>
                  <w:rFonts w:hint="eastAsia" w:ascii="Times New Roman" w:hAnsi="Times New Roman"/>
                  <w:b w:val="0"/>
                  <w:bCs/>
                  <w:i w:val="0"/>
                  <w:color w:val="000000"/>
                </w:rPr>
                <m:t>0</m:t>
              </m:r>
              <m:ctrlPr>
                <w:rPr>
                  <w:rFonts w:hint="eastAsia" w:ascii="Cambria Math" w:hAnsi="Cambria Math"/>
                  <w:bCs/>
                  <w:color w:val="000000"/>
                </w:rPr>
              </m:ctrlPr>
            </m:sub>
          </m:sSub>
          <m:r>
            <m:rPr>
              <m:nor/>
              <m:sty m:val="p"/>
            </m:rPr>
            <w:rPr>
              <w:rFonts w:hint="eastAsia" w:ascii="Times New Roman" w:hAnsi="Times New Roman"/>
              <w:b w:val="0"/>
              <w:bCs/>
              <w:i w:val="0"/>
              <w:color w:val="000000"/>
            </w:rPr>
            <m:t>÷1000</m:t>
          </m:r>
        </m:oMath>
      </m:oMathPara>
    </w:p>
    <w:p w14:paraId="2AB295A6">
      <w:pPr>
        <w:widowControl w:val="0"/>
        <w:rPr>
          <w:rFonts w:hint="eastAsia"/>
          <w:bCs/>
          <w:color w:val="000000"/>
        </w:rPr>
      </w:pPr>
      <w:r>
        <w:rPr>
          <w:rFonts w:hint="eastAsia"/>
          <w:bCs/>
          <w:color w:val="000000"/>
        </w:rPr>
        <w:t>式中：</w:t>
      </w:r>
    </w:p>
    <w:tbl>
      <w:tblPr>
        <w:tblStyle w:val="1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4"/>
        <w:gridCol w:w="1196"/>
        <w:gridCol w:w="7980"/>
      </w:tblGrid>
      <w:tr w14:paraId="7F5F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2023C7BD">
            <w:pPr>
              <w:widowControl w:val="0"/>
              <w:rPr>
                <w:rFonts w:hint="eastAsia"/>
                <w:bCs/>
                <w:color w:val="000000"/>
              </w:rPr>
            </w:pPr>
          </w:p>
        </w:tc>
        <w:tc>
          <w:tcPr>
            <w:tcW w:w="865" w:type="dxa"/>
            <w:vAlign w:val="center"/>
          </w:tcPr>
          <w:p w14:paraId="17B26D9D">
            <w:pPr>
              <w:widowControl w:val="0"/>
              <w:rPr>
                <w:rFonts w:hint="eastAsia"/>
                <w:bCs/>
                <w:color w:val="000000"/>
              </w:rPr>
            </w:pPr>
            <w:r>
              <w:rPr>
                <w:rFonts w:hint="eastAsia"/>
                <w:bCs/>
                <w:color w:val="000000"/>
              </w:rPr>
              <w:t>F0</w:t>
            </w:r>
          </w:p>
        </w:tc>
        <w:tc>
          <w:tcPr>
            <w:tcW w:w="8063" w:type="dxa"/>
          </w:tcPr>
          <w:p w14:paraId="3323CC3E">
            <w:pPr>
              <w:widowControl w:val="0"/>
              <w:rPr>
                <w:rFonts w:hint="eastAsia"/>
                <w:bCs/>
                <w:color w:val="000000"/>
              </w:rPr>
            </w:pPr>
            <w:r>
              <w:rPr>
                <w:rFonts w:hint="eastAsia"/>
                <w:bCs/>
                <w:color w:val="000000"/>
              </w:rPr>
              <w:t>——钢丝绳最小破断拉力，单位为kN；</w:t>
            </w:r>
          </w:p>
        </w:tc>
      </w:tr>
      <w:tr w14:paraId="1C25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052C3657">
            <w:pPr>
              <w:widowControl w:val="0"/>
              <w:rPr>
                <w:rFonts w:hint="eastAsia"/>
                <w:bCs/>
                <w:color w:val="000000"/>
              </w:rPr>
            </w:pPr>
          </w:p>
        </w:tc>
        <w:tc>
          <w:tcPr>
            <w:tcW w:w="865" w:type="dxa"/>
            <w:vAlign w:val="center"/>
          </w:tcPr>
          <w:p w14:paraId="0C2D517E">
            <w:pPr>
              <w:widowControl w:val="0"/>
              <w:rPr>
                <w:rFonts w:hint="eastAsia"/>
                <w:bCs/>
                <w:color w:val="000000"/>
              </w:rPr>
            </w:pPr>
            <w:r>
              <w:rPr>
                <w:rFonts w:hint="eastAsia"/>
                <w:bCs/>
                <w:color w:val="000000"/>
              </w:rPr>
              <w:t>D</w:t>
            </w:r>
          </w:p>
        </w:tc>
        <w:tc>
          <w:tcPr>
            <w:tcW w:w="8063" w:type="dxa"/>
          </w:tcPr>
          <w:p w14:paraId="419C16DB">
            <w:pPr>
              <w:widowControl w:val="0"/>
              <w:rPr>
                <w:rFonts w:hint="eastAsia"/>
                <w:bCs/>
                <w:color w:val="000000"/>
              </w:rPr>
            </w:pPr>
            <w:r>
              <w:rPr>
                <w:rFonts w:hint="eastAsia"/>
                <w:bCs/>
                <w:color w:val="000000"/>
              </w:rPr>
              <w:t>——钢丝绳公称直径，单位为mm；</w:t>
            </w:r>
          </w:p>
        </w:tc>
      </w:tr>
      <w:tr w14:paraId="39CAE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6A5F510E">
            <w:pPr>
              <w:widowControl w:val="0"/>
              <w:rPr>
                <w:rFonts w:hint="eastAsia"/>
                <w:bCs/>
                <w:color w:val="000000"/>
              </w:rPr>
            </w:pPr>
          </w:p>
        </w:tc>
        <w:tc>
          <w:tcPr>
            <w:tcW w:w="865" w:type="dxa"/>
            <w:vAlign w:val="center"/>
          </w:tcPr>
          <w:p w14:paraId="65B56E9C">
            <w:pPr>
              <w:widowControl w:val="0"/>
              <w:rPr>
                <w:rFonts w:hint="eastAsia"/>
                <w:bCs/>
                <w:color w:val="000000"/>
              </w:rPr>
            </w:pPr>
            <w:r>
              <w:rPr>
                <w:rFonts w:hint="eastAsia"/>
                <w:bCs/>
                <w:color w:val="000000"/>
              </w:rPr>
              <w:t>R0</w:t>
            </w:r>
          </w:p>
        </w:tc>
        <w:tc>
          <w:tcPr>
            <w:tcW w:w="8063" w:type="dxa"/>
          </w:tcPr>
          <w:p w14:paraId="7C613F6B">
            <w:pPr>
              <w:widowControl w:val="0"/>
              <w:rPr>
                <w:rFonts w:hint="eastAsia"/>
                <w:bCs/>
                <w:color w:val="000000"/>
              </w:rPr>
            </w:pPr>
            <w:r>
              <w:rPr>
                <w:rFonts w:hint="eastAsia"/>
                <w:bCs/>
                <w:color w:val="000000"/>
              </w:rPr>
              <w:t>——钢丝绳公称抗拉强度，取1870MPa；</w:t>
            </w:r>
          </w:p>
        </w:tc>
      </w:tr>
      <w:tr w14:paraId="69CA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386DAB0C">
            <w:pPr>
              <w:widowControl w:val="0"/>
              <w:rPr>
                <w:rFonts w:hint="eastAsia"/>
                <w:bCs/>
                <w:color w:val="000000"/>
              </w:rPr>
            </w:pPr>
          </w:p>
        </w:tc>
        <w:tc>
          <w:tcPr>
            <w:tcW w:w="865" w:type="dxa"/>
            <w:vAlign w:val="center"/>
          </w:tcPr>
          <w:p w14:paraId="6247BE61">
            <w:pPr>
              <w:widowControl w:val="0"/>
              <w:rPr>
                <w:rFonts w:hint="eastAsia"/>
                <w:bCs/>
                <w:color w:val="000000"/>
              </w:rPr>
            </w:pPr>
            <w:r>
              <w:rPr>
                <w:rFonts w:hint="eastAsia"/>
                <w:bCs/>
                <w:color w:val="000000"/>
              </w:rPr>
              <w:t>K’</w:t>
            </w:r>
          </w:p>
        </w:tc>
        <w:tc>
          <w:tcPr>
            <w:tcW w:w="8063" w:type="dxa"/>
          </w:tcPr>
          <w:p w14:paraId="755F72F7">
            <w:pPr>
              <w:widowControl w:val="0"/>
              <w:rPr>
                <w:rFonts w:hint="eastAsia"/>
                <w:bCs/>
                <w:color w:val="000000"/>
              </w:rPr>
            </w:pPr>
            <w:r>
              <w:rPr>
                <w:rFonts w:hint="eastAsia"/>
                <w:bCs/>
                <w:color w:val="000000"/>
              </w:rPr>
              <w:t>——钢丝绳的最小破断拉力系数，6×19</w:t>
            </w:r>
            <w:r>
              <w:rPr>
                <w:rFonts w:hint="eastAsia"/>
                <w:bCs/>
                <w:color w:val="000000"/>
                <w:lang w:val="en-US" w:eastAsia="zh-CN"/>
              </w:rPr>
              <w:t>S</w:t>
            </w:r>
            <w:r>
              <w:rPr>
                <w:rFonts w:hint="eastAsia"/>
                <w:bCs/>
                <w:color w:val="000000"/>
              </w:rPr>
              <w:t>+</w:t>
            </w:r>
            <w:r>
              <w:rPr>
                <w:rFonts w:hint="eastAsia"/>
                <w:bCs/>
                <w:color w:val="000000"/>
                <w:lang w:val="en-US" w:eastAsia="zh-CN"/>
              </w:rPr>
              <w:t>FC</w:t>
            </w:r>
            <w:r>
              <w:rPr>
                <w:rFonts w:hint="eastAsia"/>
                <w:bCs/>
                <w:color w:val="000000"/>
              </w:rPr>
              <w:t>钢丝绳取0.33。</w:t>
            </w:r>
          </w:p>
        </w:tc>
      </w:tr>
    </w:tbl>
    <w:p w14:paraId="786F90B3">
      <w:pPr>
        <w:widowControl w:val="0"/>
        <w:rPr>
          <w:rFonts w:hint="eastAsia"/>
          <w:bCs/>
          <w:color w:val="000000"/>
        </w:rPr>
      </w:pPr>
      <w:r>
        <w:rPr>
          <w:rFonts w:hint="eastAsia"/>
          <w:bCs/>
          <w:color w:val="000000"/>
        </w:rPr>
        <w:t>采用四点吊的塔吊主要部件</w:t>
      </w:r>
      <w:r>
        <w:rPr>
          <w:rFonts w:hint="eastAsia"/>
          <w:bCs/>
          <w:color w:val="000000"/>
          <w:lang w:val="en-US" w:eastAsia="zh-CN"/>
        </w:rPr>
        <w:t>中</w:t>
      </w:r>
      <w:r>
        <w:rPr>
          <w:rFonts w:hint="eastAsia"/>
          <w:bCs/>
          <w:color w:val="000000"/>
        </w:rPr>
        <w:t>最大重量为</w:t>
      </w:r>
      <w:r>
        <w:rPr>
          <w:rFonts w:hint="eastAsia"/>
          <w:bCs/>
          <w:color w:val="000000"/>
          <w:lang w:val="en-US" w:eastAsia="zh-CN"/>
        </w:rPr>
        <w:t>回转总成</w:t>
      </w:r>
      <w:r>
        <w:rPr>
          <w:rFonts w:hint="eastAsia"/>
          <w:bCs/>
          <w:color w:val="000000"/>
        </w:rPr>
        <w:t>，</w:t>
      </w:r>
      <w:r>
        <w:rPr>
          <w:rFonts w:hint="eastAsia"/>
          <w:bCs/>
          <w:color w:val="000000"/>
          <w:lang w:val="en-US" w:eastAsia="zh-CN"/>
        </w:rPr>
        <w:t>回转总成</w:t>
      </w:r>
      <w:r>
        <w:rPr>
          <w:rFonts w:hint="eastAsia"/>
          <w:bCs/>
          <w:color w:val="000000"/>
        </w:rPr>
        <w:t>起重量约</w:t>
      </w:r>
      <w:r>
        <w:rPr>
          <w:rFonts w:hint="eastAsia"/>
          <w:bCs/>
          <w:color w:val="000000"/>
          <w:lang w:val="en-US" w:eastAsia="zh-CN"/>
        </w:rPr>
        <w:t>17.08</w:t>
      </w:r>
      <w:r>
        <w:rPr>
          <w:rFonts w:hint="eastAsia"/>
          <w:bCs/>
          <w:color w:val="000000"/>
        </w:rPr>
        <w:t>t，钢丝绳与</w:t>
      </w:r>
      <w:r>
        <w:rPr>
          <w:rFonts w:hint="eastAsia"/>
          <w:bCs/>
          <w:color w:val="000000"/>
          <w:lang w:val="en-US" w:eastAsia="zh-CN"/>
        </w:rPr>
        <w:t>回转总成成</w:t>
      </w:r>
      <w:r>
        <w:rPr>
          <w:rFonts w:hint="eastAsia"/>
          <w:bCs/>
          <w:color w:val="000000"/>
        </w:rPr>
        <w:t>60°夹角，以</w:t>
      </w:r>
      <w:r>
        <w:rPr>
          <w:rFonts w:hint="eastAsia"/>
          <w:bCs/>
          <w:color w:val="000000"/>
          <w:lang w:val="en-US" w:eastAsia="zh-CN"/>
        </w:rPr>
        <w:t>回转总成顶部四个吊耳</w:t>
      </w:r>
      <w:r>
        <w:rPr>
          <w:rFonts w:hint="eastAsia"/>
          <w:bCs/>
          <w:color w:val="000000"/>
        </w:rPr>
        <w:t>作为吊装孔，钢丝绳采用压制接头。</w:t>
      </w:r>
    </w:p>
    <w:p w14:paraId="2E565EC4">
      <w:pPr>
        <w:widowControl w:val="0"/>
        <w:rPr>
          <w:rFonts w:hint="eastAsia"/>
          <w:bCs/>
          <w:color w:val="000000"/>
        </w:rPr>
      </w:pPr>
      <w:r>
        <w:rPr>
          <w:rFonts w:hint="eastAsia"/>
          <w:bCs/>
          <w:color w:val="000000"/>
        </w:rPr>
        <w:t>每根钢丝绳最小破断拉力：</w:t>
      </w:r>
    </w:p>
    <w:p w14:paraId="6466E464">
      <w:pPr>
        <w:widowControl w:val="0"/>
        <w:spacing w:line="240" w:lineRule="auto"/>
        <w:rPr>
          <w:rFonts w:hint="eastAsia"/>
          <w:bCs/>
          <w:color w:val="000000"/>
          <w:lang w:val="en-US" w:eastAsia="zh-CN"/>
        </w:rPr>
      </w:pPr>
      <m:oMathPara>
        <m:oMath>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F</m:t>
              </m:r>
              <m:ctrlPr>
                <w:rPr>
                  <w:rFonts w:hint="default" w:ascii="Cambria Math" w:hAnsi="Cambria Math"/>
                  <w:bCs/>
                  <w:color w:val="000000"/>
                </w:rPr>
              </m:ctrlPr>
            </m:e>
            <m:sub>
              <m:r>
                <m:rPr>
                  <m:nor/>
                  <m:sty m:val="p"/>
                </m:rPr>
                <w:rPr>
                  <w:rFonts w:hint="eastAsia" w:ascii="Times New Roman" w:hAnsi="Times New Roman"/>
                  <w:b w:val="0"/>
                  <w:bCs/>
                  <w:i w:val="0"/>
                  <w:color w:val="000000"/>
                </w:rPr>
                <m:t>0</m:t>
              </m:r>
              <m:ctrlPr>
                <w:rPr>
                  <w:rFonts w:hint="default" w:ascii="Cambria Math" w:hAnsi="Cambria Math"/>
                  <w:bCs/>
                  <w:color w:val="000000"/>
                </w:rPr>
              </m:ctrlPr>
            </m:sub>
          </m:sSub>
          <m:r>
            <m:rPr>
              <m:nor/>
              <m:sty m:val="p"/>
            </m:rPr>
            <w:rPr>
              <w:rFonts w:hint="eastAsia" w:ascii="Times New Roman" w:hAnsi="Times New Roman"/>
              <w:b w:val="0"/>
              <w:bCs/>
              <w:i w:val="0"/>
              <w:color w:val="000000"/>
            </w:rPr>
            <m:t>=</m:t>
          </m:r>
          <m:f>
            <m:fPr>
              <m:ctrlPr>
                <w:rPr>
                  <w:rFonts w:hint="default" w:ascii="Cambria Math" w:hAnsi="Cambria Math"/>
                  <w:bCs/>
                  <w:color w:val="000000"/>
                </w:rPr>
              </m:ctrlPr>
            </m:fPr>
            <m:num>
              <m:r>
                <m:rPr>
                  <m:nor/>
                  <m:sty m:val="p"/>
                </m:rPr>
                <w:rPr>
                  <w:rFonts w:hint="eastAsia" w:ascii="Times New Roman" w:hAnsi="Times New Roman"/>
                  <w:b w:val="0"/>
                  <w:bCs/>
                  <w:i w:val="0"/>
                  <w:color w:val="000000"/>
                </w:rPr>
                <m:t>WLL×</m:t>
              </m:r>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K</m:t>
                  </m:r>
                  <m:ctrlPr>
                    <w:rPr>
                      <w:rFonts w:hint="default" w:ascii="Cambria Math" w:hAnsi="Cambria Math"/>
                      <w:bCs/>
                      <w:color w:val="000000"/>
                    </w:rPr>
                  </m:ctrlPr>
                </m:e>
                <m:sub>
                  <m:r>
                    <m:rPr>
                      <m:nor/>
                      <m:sty m:val="p"/>
                    </m:rPr>
                    <w:rPr>
                      <w:rFonts w:hint="eastAsia" w:ascii="Times New Roman" w:hAnsi="Times New Roman"/>
                      <w:b w:val="0"/>
                      <w:bCs/>
                      <w:i w:val="0"/>
                      <w:color w:val="000000"/>
                    </w:rPr>
                    <m:t>m</m:t>
                  </m:r>
                  <m:ctrlPr>
                    <w:rPr>
                      <w:rFonts w:hint="default" w:ascii="Cambria Math" w:hAnsi="Cambria Math"/>
                      <w:bCs/>
                      <w:color w:val="000000"/>
                    </w:rPr>
                  </m:ctrlPr>
                </m:sub>
              </m:sSub>
              <m:r>
                <m:rPr>
                  <m:nor/>
                  <m:sty m:val="p"/>
                </m:rPr>
                <w:rPr>
                  <w:rFonts w:hint="eastAsia" w:ascii="Times New Roman" w:hAnsi="Times New Roman"/>
                  <w:b w:val="0"/>
                  <w:bCs/>
                  <w:i w:val="0"/>
                  <w:color w:val="000000"/>
                </w:rPr>
                <m:t>×</m:t>
              </m:r>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K</m:t>
                  </m:r>
                  <m:ctrlPr>
                    <w:rPr>
                      <w:rFonts w:hint="default" w:ascii="Cambria Math" w:hAnsi="Cambria Math"/>
                      <w:bCs/>
                      <w:color w:val="000000"/>
                    </w:rPr>
                  </m:ctrlPr>
                </m:e>
                <m:sub>
                  <m:r>
                    <m:rPr>
                      <m:nor/>
                      <m:sty m:val="p"/>
                    </m:rPr>
                    <w:rPr>
                      <w:rFonts w:hint="eastAsia" w:ascii="Times New Roman" w:hAnsi="Times New Roman"/>
                      <w:b w:val="0"/>
                      <w:bCs/>
                      <w:i w:val="0"/>
                      <w:color w:val="000000"/>
                    </w:rPr>
                    <m:t>u</m:t>
                  </m:r>
                  <m:ctrlPr>
                    <w:rPr>
                      <w:rFonts w:hint="default" w:ascii="Cambria Math" w:hAnsi="Cambria Math"/>
                      <w:bCs/>
                      <w:color w:val="000000"/>
                    </w:rPr>
                  </m:ctrlPr>
                </m:sub>
              </m:sSub>
              <m:ctrlPr>
                <w:rPr>
                  <w:rFonts w:hint="default" w:ascii="Cambria Math" w:hAnsi="Cambria Math"/>
                  <w:bCs/>
                  <w:color w:val="000000"/>
                </w:rPr>
              </m:ctrlPr>
            </m:num>
            <m:den>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K</m:t>
                  </m:r>
                  <m:ctrlPr>
                    <w:rPr>
                      <w:rFonts w:hint="default" w:ascii="Cambria Math" w:hAnsi="Cambria Math"/>
                      <w:bCs/>
                      <w:color w:val="000000"/>
                    </w:rPr>
                  </m:ctrlPr>
                </m:e>
                <m:sub>
                  <m:r>
                    <m:rPr>
                      <m:nor/>
                      <m:sty m:val="p"/>
                    </m:rPr>
                    <w:rPr>
                      <w:rFonts w:hint="eastAsia" w:ascii="Times New Roman" w:hAnsi="Times New Roman"/>
                      <w:b w:val="0"/>
                      <w:bCs/>
                      <w:i w:val="0"/>
                      <w:color w:val="000000"/>
                    </w:rPr>
                    <m:t>e</m:t>
                  </m:r>
                  <m:ctrlPr>
                    <w:rPr>
                      <w:rFonts w:hint="default" w:ascii="Cambria Math" w:hAnsi="Cambria Math"/>
                      <w:bCs/>
                      <w:color w:val="000000"/>
                    </w:rPr>
                  </m:ctrlPr>
                </m:sub>
              </m:sSub>
              <m:r>
                <m:rPr>
                  <m:nor/>
                  <m:sty m:val="p"/>
                </m:rPr>
                <w:rPr>
                  <w:rFonts w:hint="eastAsia" w:ascii="Times New Roman" w:hAnsi="Times New Roman"/>
                  <w:b w:val="0"/>
                  <w:bCs/>
                  <w:i w:val="0"/>
                  <w:color w:val="000000"/>
                </w:rPr>
                <m:t>×K</m:t>
              </m:r>
              <m:ctrlPr>
                <w:rPr>
                  <w:rFonts w:hint="default" w:ascii="Cambria Math" w:hAnsi="Cambria Math"/>
                  <w:bCs/>
                  <w:color w:val="000000"/>
                </w:rPr>
              </m:ctrlPr>
            </m:den>
          </m:f>
          <m:r>
            <m:rPr>
              <m:nor/>
              <m:sty m:val="p"/>
            </m:rPr>
            <w:rPr>
              <w:rFonts w:hint="eastAsia" w:ascii="Times New Roman" w:hAnsi="Times New Roman"/>
              <w:b w:val="0"/>
              <w:bCs/>
              <w:i w:val="0"/>
              <w:color w:val="000000"/>
            </w:rPr>
            <m:t>=</m:t>
          </m:r>
          <m:f>
            <m:fPr>
              <m:ctrlPr>
                <w:rPr>
                  <w:rFonts w:hint="default" w:ascii="Cambria Math" w:hAnsi="Cambria Math"/>
                  <w:bCs/>
                  <w:color w:val="000000"/>
                </w:rPr>
              </m:ctrlPr>
            </m:fPr>
            <m:num>
              <m:r>
                <m:rPr>
                  <m:nor/>
                  <m:sty m:val="p"/>
                </m:rPr>
                <w:rPr>
                  <w:rFonts w:hint="default" w:ascii="Cambria Math" w:hAnsi="Cambria Math"/>
                  <w:b w:val="0"/>
                  <w:bCs/>
                  <w:i w:val="0"/>
                  <w:color w:val="000000"/>
                  <w:lang w:val="en-US" w:eastAsia="zh-CN"/>
                </w:rPr>
                <m:t>17.08</m:t>
              </m:r>
              <m:r>
                <m:rPr>
                  <m:nor/>
                  <m:sty m:val="p"/>
                </m:rPr>
                <w:rPr>
                  <w:rFonts w:hint="eastAsia" w:ascii="Times New Roman" w:hAnsi="Times New Roman"/>
                  <w:b w:val="0"/>
                  <w:bCs/>
                  <w:i w:val="0"/>
                  <w:color w:val="000000"/>
                </w:rPr>
                <m:t>×9.80665×6</m:t>
              </m:r>
              <m:r>
                <m:rPr>
                  <m:nor/>
                  <m:sty m:val="p"/>
                </m:rPr>
                <w:rPr>
                  <w:rFonts w:hint="eastAsia" w:ascii="Times New Roman" w:hAnsi="Times New Roman"/>
                  <w:b w:val="0"/>
                  <w:bCs/>
                  <w:i w:val="0"/>
                  <w:color w:val="000000"/>
                  <w:lang w:val="en-US" w:eastAsia="zh-CN"/>
                </w:rPr>
                <m:t>×</m:t>
              </m:r>
              <m:r>
                <m:rPr>
                  <m:nor/>
                  <m:sty m:val="p"/>
                </m:rPr>
                <w:rPr>
                  <w:rFonts w:hint="default" w:ascii="Times New Roman" w:hAnsi="Times New Roman"/>
                  <w:b w:val="0"/>
                  <w:bCs/>
                  <w:i w:val="0"/>
                  <w:color w:val="000000"/>
                  <w:lang w:val="en-US" w:eastAsia="zh-CN"/>
                </w:rPr>
                <m:t>1.1</m:t>
              </m:r>
              <m:ctrlPr>
                <w:rPr>
                  <w:rFonts w:hint="default" w:ascii="Cambria Math" w:hAnsi="Cambria Math"/>
                  <w:bCs/>
                  <w:color w:val="000000"/>
                </w:rPr>
              </m:ctrlPr>
            </m:num>
            <m:den>
              <m:r>
                <m:rPr>
                  <m:nor/>
                  <m:sty m:val="p"/>
                </m:rPr>
                <w:rPr>
                  <w:rFonts w:hint="eastAsia" w:ascii="Times New Roman" w:hAnsi="Times New Roman"/>
                  <w:b w:val="0"/>
                  <w:bCs/>
                  <w:i w:val="0"/>
                  <w:color w:val="000000"/>
                </w:rPr>
                <m:t>0.9×2.1</m:t>
              </m:r>
              <m:ctrlPr>
                <w:rPr>
                  <w:rFonts w:hint="default" w:ascii="Cambria Math" w:hAnsi="Cambria Math"/>
                  <w:bCs/>
                  <w:color w:val="000000"/>
                </w:rPr>
              </m:ctrlPr>
            </m:den>
          </m:f>
          <m:r>
            <m:rPr>
              <m:nor/>
              <m:sty m:val="p"/>
            </m:rPr>
            <w:rPr>
              <w:rFonts w:hint="eastAsia" w:ascii="Times New Roman" w:hAnsi="Times New Roman"/>
              <w:b w:val="0"/>
              <w:bCs/>
              <w:i w:val="0"/>
              <w:color w:val="000000"/>
            </w:rPr>
            <m:t>=</m:t>
          </m:r>
          <m:r>
            <m:rPr>
              <m:nor/>
              <m:sty m:val="p"/>
            </m:rPr>
            <w:rPr>
              <w:rFonts w:hint="default" w:ascii="Times New Roman" w:hAnsi="Times New Roman"/>
              <w:b w:val="0"/>
              <w:bCs/>
              <w:i w:val="0"/>
              <w:color w:val="000000"/>
              <w:lang w:val="en-US" w:eastAsia="zh-CN"/>
            </w:rPr>
            <m:t>584.92</m:t>
          </m:r>
          <m:r>
            <m:rPr>
              <m:nor/>
              <m:sty m:val="p"/>
            </m:rPr>
            <w:rPr>
              <w:rFonts w:hint="eastAsia" w:ascii="Times New Roman" w:hAnsi="Times New Roman"/>
              <w:b w:val="0"/>
              <w:bCs/>
              <w:i w:val="0"/>
              <w:color w:val="000000"/>
            </w:rPr>
            <m:t>kN</m:t>
          </m:r>
        </m:oMath>
      </m:oMathPara>
    </w:p>
    <w:p w14:paraId="3684260F">
      <w:pPr>
        <w:widowControl w:val="0"/>
        <w:rPr>
          <w:rFonts w:hint="eastAsia"/>
          <w:bCs/>
          <w:color w:val="000000"/>
        </w:rPr>
      </w:pPr>
      <w:r>
        <w:rPr>
          <w:rFonts w:hint="eastAsia"/>
          <w:bCs/>
          <w:color w:val="000000"/>
        </w:rPr>
        <w:t>则钢丝绳最小公称直径：</w:t>
      </w:r>
    </w:p>
    <w:p w14:paraId="1542D9C0">
      <w:pPr>
        <w:widowControl w:val="0"/>
        <w:spacing w:line="240" w:lineRule="auto"/>
        <w:rPr>
          <w:rFonts w:hint="eastAsia"/>
          <w:bCs/>
          <w:color w:val="000000"/>
          <w:lang w:val="en-US" w:eastAsia="zh-CN"/>
        </w:rPr>
      </w:pPr>
      <m:oMathPara>
        <m:oMath>
          <m:r>
            <m:rPr>
              <m:nor/>
              <m:sty m:val="p"/>
            </m:rPr>
            <w:rPr>
              <w:rFonts w:hint="eastAsia" w:ascii="Times New Roman" w:hAnsi="Times New Roman"/>
              <w:b w:val="0"/>
              <w:bCs/>
              <w:i w:val="0"/>
              <w:color w:val="000000"/>
            </w:rPr>
            <m:t>D=</m:t>
          </m:r>
          <m:rad>
            <m:radPr>
              <m:degHide m:val="1"/>
              <m:ctrlPr>
                <w:rPr>
                  <w:rFonts w:hint="default" w:ascii="Cambria Math" w:hAnsi="Cambria Math"/>
                  <w:bCs/>
                  <w:color w:val="000000"/>
                </w:rPr>
              </m:ctrlPr>
            </m:radPr>
            <m:deg>
              <m:ctrlPr>
                <w:rPr>
                  <w:rFonts w:hint="default" w:ascii="Cambria Math" w:hAnsi="Cambria Math"/>
                  <w:bCs/>
                  <w:color w:val="000000"/>
                </w:rPr>
              </m:ctrlPr>
            </m:deg>
            <m:e>
              <m:f>
                <m:fPr>
                  <m:ctrlPr>
                    <w:rPr>
                      <w:rFonts w:hint="default" w:ascii="Cambria Math" w:hAnsi="Cambria Math"/>
                      <w:bCs/>
                      <w:color w:val="000000"/>
                    </w:rPr>
                  </m:ctrlPr>
                </m:fPr>
                <m:num>
                  <m:r>
                    <m:rPr>
                      <m:nor/>
                      <m:sty m:val="p"/>
                    </m:rPr>
                    <w:rPr>
                      <w:rFonts w:hint="eastAsia" w:ascii="Times New Roman" w:hAnsi="Times New Roman"/>
                      <w:b w:val="0"/>
                      <w:bCs/>
                      <w:i w:val="0"/>
                      <w:color w:val="000000"/>
                    </w:rPr>
                    <m:t>1000×</m:t>
                  </m:r>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F</m:t>
                      </m:r>
                      <m:ctrlPr>
                        <w:rPr>
                          <w:rFonts w:hint="default" w:ascii="Cambria Math" w:hAnsi="Cambria Math"/>
                          <w:bCs/>
                          <w:color w:val="000000"/>
                        </w:rPr>
                      </m:ctrlPr>
                    </m:e>
                    <m:sub>
                      <m:r>
                        <m:rPr>
                          <m:nor/>
                          <m:sty m:val="p"/>
                        </m:rPr>
                        <w:rPr>
                          <w:rFonts w:hint="eastAsia" w:ascii="Times New Roman" w:hAnsi="Times New Roman"/>
                          <w:b w:val="0"/>
                          <w:bCs/>
                          <w:i w:val="0"/>
                          <w:color w:val="000000"/>
                        </w:rPr>
                        <m:t>0</m:t>
                      </m:r>
                      <m:ctrlPr>
                        <w:rPr>
                          <w:rFonts w:hint="default" w:ascii="Cambria Math" w:hAnsi="Cambria Math"/>
                          <w:bCs/>
                          <w:color w:val="000000"/>
                        </w:rPr>
                      </m:ctrlPr>
                    </m:sub>
                  </m:sSub>
                  <m:ctrlPr>
                    <w:rPr>
                      <w:rFonts w:hint="default" w:ascii="Cambria Math" w:hAnsi="Cambria Math"/>
                      <w:bCs/>
                      <w:color w:val="000000"/>
                    </w:rPr>
                  </m:ctrlPr>
                </m:num>
                <m:den>
                  <m:sSup>
                    <m:sSupPr>
                      <m:ctrlPr>
                        <w:rPr>
                          <w:rFonts w:hint="default" w:ascii="Cambria Math" w:hAnsi="Cambria Math"/>
                          <w:bCs/>
                          <w:color w:val="000000"/>
                        </w:rPr>
                      </m:ctrlPr>
                    </m:sSupPr>
                    <m:e>
                      <m:r>
                        <m:rPr>
                          <m:nor/>
                          <m:sty m:val="p"/>
                        </m:rPr>
                        <w:rPr>
                          <w:rFonts w:hint="eastAsia" w:ascii="Times New Roman" w:hAnsi="Times New Roman"/>
                          <w:b w:val="0"/>
                          <w:bCs/>
                          <w:i w:val="0"/>
                          <w:color w:val="000000"/>
                        </w:rPr>
                        <m:t>K</m:t>
                      </m:r>
                      <m:ctrlPr>
                        <w:rPr>
                          <w:rFonts w:hint="default" w:ascii="Cambria Math" w:hAnsi="Cambria Math"/>
                          <w:bCs/>
                          <w:color w:val="000000"/>
                        </w:rPr>
                      </m:ctrlPr>
                    </m:e>
                    <m:sup>
                      <m:r>
                        <m:rPr>
                          <m:nor/>
                          <m:sty m:val="p"/>
                        </m:rPr>
                        <w:rPr>
                          <w:rFonts w:hint="eastAsia" w:ascii="Times New Roman" w:hAnsi="Times New Roman"/>
                          <w:b w:val="0"/>
                          <w:bCs/>
                          <w:i w:val="0"/>
                          <w:color w:val="000000"/>
                        </w:rPr>
                        <m:t>'</m:t>
                      </m:r>
                      <m:ctrlPr>
                        <w:rPr>
                          <w:rFonts w:hint="default" w:ascii="Cambria Math" w:hAnsi="Cambria Math"/>
                          <w:bCs/>
                          <w:color w:val="000000"/>
                        </w:rPr>
                      </m:ctrlPr>
                    </m:sup>
                  </m:sSup>
                  <m:r>
                    <m:rPr>
                      <m:nor/>
                      <m:sty m:val="p"/>
                    </m:rPr>
                    <w:rPr>
                      <w:rFonts w:hint="eastAsia" w:ascii="Times New Roman" w:hAnsi="Times New Roman"/>
                      <w:b w:val="0"/>
                      <w:bCs/>
                      <w:i w:val="0"/>
                      <w:color w:val="000000"/>
                    </w:rPr>
                    <m:t>×</m:t>
                  </m:r>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R</m:t>
                      </m:r>
                      <m:ctrlPr>
                        <w:rPr>
                          <w:rFonts w:hint="default" w:ascii="Cambria Math" w:hAnsi="Cambria Math"/>
                          <w:bCs/>
                          <w:color w:val="000000"/>
                        </w:rPr>
                      </m:ctrlPr>
                    </m:e>
                    <m:sub>
                      <m:r>
                        <m:rPr>
                          <m:nor/>
                          <m:sty m:val="p"/>
                        </m:rPr>
                        <w:rPr>
                          <w:rFonts w:hint="eastAsia" w:ascii="Times New Roman" w:hAnsi="Times New Roman"/>
                          <w:b w:val="0"/>
                          <w:bCs/>
                          <w:i w:val="0"/>
                          <w:color w:val="000000"/>
                        </w:rPr>
                        <m:t>0</m:t>
                      </m:r>
                      <m:ctrlPr>
                        <w:rPr>
                          <w:rFonts w:hint="default" w:ascii="Cambria Math" w:hAnsi="Cambria Math"/>
                          <w:bCs/>
                          <w:color w:val="000000"/>
                        </w:rPr>
                      </m:ctrlPr>
                    </m:sub>
                  </m:sSub>
                  <m:ctrlPr>
                    <w:rPr>
                      <w:rFonts w:hint="default" w:ascii="Cambria Math" w:hAnsi="Cambria Math"/>
                      <w:bCs/>
                      <w:color w:val="000000"/>
                    </w:rPr>
                  </m:ctrlPr>
                </m:den>
              </m:f>
              <m:ctrlPr>
                <w:rPr>
                  <w:rFonts w:hint="default" w:ascii="Cambria Math" w:hAnsi="Cambria Math"/>
                  <w:bCs/>
                  <w:color w:val="000000"/>
                </w:rPr>
              </m:ctrlPr>
            </m:e>
          </m:rad>
          <m:r>
            <m:rPr>
              <m:nor/>
              <m:sty m:val="p"/>
            </m:rPr>
            <w:rPr>
              <w:rFonts w:hint="eastAsia" w:ascii="Times New Roman" w:hAnsi="Times New Roman"/>
              <w:b w:val="0"/>
              <w:bCs/>
              <w:i w:val="0"/>
              <w:color w:val="000000"/>
            </w:rPr>
            <m:t>=</m:t>
          </m:r>
          <m:rad>
            <m:radPr>
              <m:degHide m:val="1"/>
              <m:ctrlPr>
                <w:rPr>
                  <w:rFonts w:hint="default" w:ascii="Cambria Math" w:hAnsi="Cambria Math"/>
                  <w:bCs/>
                  <w:color w:val="000000"/>
                </w:rPr>
              </m:ctrlPr>
            </m:radPr>
            <m:deg>
              <m:ctrlPr>
                <w:rPr>
                  <w:rFonts w:hint="default" w:ascii="Cambria Math" w:hAnsi="Cambria Math"/>
                  <w:bCs/>
                  <w:color w:val="000000"/>
                </w:rPr>
              </m:ctrlPr>
            </m:deg>
            <m:e>
              <m:f>
                <m:fPr>
                  <m:ctrlPr>
                    <w:rPr>
                      <w:rFonts w:hint="default" w:ascii="Cambria Math" w:hAnsi="Cambria Math"/>
                      <w:bCs/>
                      <w:color w:val="000000"/>
                    </w:rPr>
                  </m:ctrlPr>
                </m:fPr>
                <m:num>
                  <m:r>
                    <m:rPr>
                      <m:nor/>
                      <m:sty m:val="p"/>
                    </m:rPr>
                    <w:rPr>
                      <w:rFonts w:hint="eastAsia" w:ascii="Times New Roman" w:hAnsi="Times New Roman"/>
                      <w:b w:val="0"/>
                      <w:bCs/>
                      <w:i w:val="0"/>
                      <w:color w:val="000000"/>
                    </w:rPr>
                    <m:t>1000×</m:t>
                  </m:r>
                  <m:r>
                    <m:rPr>
                      <m:nor/>
                      <m:sty m:val="p"/>
                    </m:rPr>
                    <w:rPr>
                      <w:rFonts w:hint="default" w:ascii="Times New Roman" w:hAnsi="Times New Roman"/>
                      <w:b w:val="0"/>
                      <w:bCs/>
                      <w:i w:val="0"/>
                      <w:color w:val="000000"/>
                      <w:lang w:val="en-US" w:eastAsia="zh-CN"/>
                    </w:rPr>
                    <m:t>584.92</m:t>
                  </m:r>
                  <m:ctrlPr>
                    <w:rPr>
                      <w:rFonts w:hint="default" w:ascii="Cambria Math" w:hAnsi="Cambria Math"/>
                      <w:bCs/>
                      <w:color w:val="000000"/>
                    </w:rPr>
                  </m:ctrlPr>
                </m:num>
                <m:den>
                  <m:r>
                    <m:rPr>
                      <m:nor/>
                      <m:sty m:val="p"/>
                    </m:rPr>
                    <w:rPr>
                      <w:rFonts w:hint="eastAsia" w:ascii="Times New Roman" w:hAnsi="Times New Roman"/>
                      <w:b w:val="0"/>
                      <w:bCs/>
                      <w:i w:val="0"/>
                      <w:color w:val="000000"/>
                    </w:rPr>
                    <m:t>0.33×1</m:t>
                  </m:r>
                  <m:r>
                    <m:rPr>
                      <m:nor/>
                      <m:sty m:val="p"/>
                    </m:rPr>
                    <w:rPr>
                      <w:rFonts w:hint="default" w:ascii="Times New Roman" w:hAnsi="Times New Roman"/>
                      <w:b w:val="0"/>
                      <w:bCs/>
                      <w:i w:val="0"/>
                      <w:color w:val="000000"/>
                      <w:lang w:val="en-US" w:eastAsia="zh-CN"/>
                    </w:rPr>
                    <m:t>87</m:t>
                  </m:r>
                  <m:r>
                    <m:rPr>
                      <m:nor/>
                      <m:sty m:val="p"/>
                    </m:rPr>
                    <w:rPr>
                      <w:rFonts w:hint="eastAsia" w:ascii="Times New Roman" w:hAnsi="Times New Roman"/>
                      <w:b w:val="0"/>
                      <w:bCs/>
                      <w:i w:val="0"/>
                      <w:color w:val="000000"/>
                    </w:rPr>
                    <m:t>0</m:t>
                  </m:r>
                  <m:ctrlPr>
                    <w:rPr>
                      <w:rFonts w:hint="default" w:ascii="Cambria Math" w:hAnsi="Cambria Math"/>
                      <w:bCs/>
                      <w:color w:val="000000"/>
                    </w:rPr>
                  </m:ctrlPr>
                </m:den>
              </m:f>
              <m:ctrlPr>
                <w:rPr>
                  <w:rFonts w:hint="default" w:ascii="Cambria Math" w:hAnsi="Cambria Math"/>
                  <w:bCs/>
                  <w:color w:val="000000"/>
                </w:rPr>
              </m:ctrlPr>
            </m:e>
          </m:rad>
          <m:r>
            <m:rPr>
              <m:nor/>
              <m:sty m:val="p"/>
            </m:rPr>
            <w:rPr>
              <w:rFonts w:hint="eastAsia" w:ascii="Times New Roman" w:hAnsi="Times New Roman"/>
              <w:b w:val="0"/>
              <w:bCs/>
              <w:i w:val="0"/>
              <w:color w:val="000000"/>
            </w:rPr>
            <m:t>=</m:t>
          </m:r>
          <m:r>
            <m:rPr>
              <m:nor/>
              <m:sty m:val="p"/>
            </m:rPr>
            <w:rPr>
              <w:rFonts w:hint="default" w:ascii="Times New Roman" w:hAnsi="Times New Roman"/>
              <w:b w:val="0"/>
              <w:bCs/>
              <w:i w:val="0"/>
              <w:color w:val="000000"/>
              <w:lang w:val="en-US" w:eastAsia="zh-CN"/>
            </w:rPr>
            <m:t>30.79</m:t>
          </m:r>
          <m:r>
            <m:rPr>
              <m:nor/>
              <m:sty m:val="p"/>
            </m:rPr>
            <w:rPr>
              <w:rFonts w:hint="eastAsia" w:ascii="Times New Roman" w:hAnsi="Times New Roman"/>
              <w:b w:val="0"/>
              <w:bCs/>
              <w:i w:val="0"/>
              <w:color w:val="000000"/>
            </w:rPr>
            <m:t>mm</m:t>
          </m:r>
        </m:oMath>
      </m:oMathPara>
    </w:p>
    <w:p w14:paraId="7E36EF83">
      <w:pPr>
        <w:widowControl w:val="0"/>
        <w:rPr>
          <w:rFonts w:hint="eastAsia"/>
          <w:bCs/>
          <w:color w:val="000000"/>
        </w:rPr>
      </w:pPr>
      <w:r>
        <w:rPr>
          <w:rFonts w:hint="eastAsia"/>
          <w:bCs/>
          <w:color w:val="000000"/>
        </w:rPr>
        <w:t>采用</w:t>
      </w:r>
      <w:r>
        <w:rPr>
          <w:rFonts w:hint="eastAsia"/>
          <w:bCs/>
          <w:color w:val="000000"/>
          <w:lang w:val="en-US" w:eastAsia="zh-CN"/>
        </w:rPr>
        <w:t>φ32mm</w:t>
      </w:r>
      <w:r>
        <w:rPr>
          <w:rFonts w:hint="eastAsia"/>
          <w:bCs/>
          <w:color w:val="000000"/>
        </w:rPr>
        <w:t>钢丝绳可满足要求。</w:t>
      </w:r>
    </w:p>
    <w:p w14:paraId="14EEEE07">
      <w:pPr>
        <w:widowControl w:val="0"/>
        <w:rPr>
          <w:rFonts w:hint="eastAsia"/>
          <w:bCs/>
          <w:color w:val="000000"/>
        </w:rPr>
      </w:pPr>
      <w:r>
        <w:rPr>
          <w:rFonts w:hint="eastAsia"/>
          <w:bCs/>
          <w:color w:val="000000"/>
        </w:rPr>
        <w:t>采用</w:t>
      </w:r>
      <w:r>
        <w:rPr>
          <w:rFonts w:hint="eastAsia"/>
          <w:bCs/>
          <w:color w:val="000000"/>
          <w:lang w:val="en-US" w:eastAsia="zh-CN"/>
        </w:rPr>
        <w:t>两</w:t>
      </w:r>
      <w:r>
        <w:rPr>
          <w:rFonts w:hint="eastAsia"/>
          <w:bCs/>
          <w:color w:val="000000"/>
        </w:rPr>
        <w:t>点吊的塔吊主要部件</w:t>
      </w:r>
      <w:r>
        <w:rPr>
          <w:rFonts w:hint="eastAsia"/>
          <w:bCs/>
          <w:color w:val="000000"/>
          <w:lang w:val="en-US" w:eastAsia="zh-CN"/>
        </w:rPr>
        <w:t>中</w:t>
      </w:r>
      <w:r>
        <w:rPr>
          <w:rFonts w:hint="eastAsia"/>
          <w:bCs/>
          <w:color w:val="000000"/>
        </w:rPr>
        <w:t>最大重量为</w:t>
      </w:r>
      <w:r>
        <w:rPr>
          <w:rFonts w:hint="eastAsia"/>
          <w:bCs/>
          <w:color w:val="000000"/>
          <w:lang w:val="en-US" w:eastAsia="zh-CN"/>
        </w:rPr>
        <w:t>平衡重A</w:t>
      </w:r>
      <w:r>
        <w:rPr>
          <w:rFonts w:hint="eastAsia"/>
          <w:bCs/>
          <w:color w:val="000000"/>
          <w:lang w:eastAsia="zh-CN"/>
        </w:rPr>
        <w:t>，</w:t>
      </w:r>
      <w:r>
        <w:rPr>
          <w:rFonts w:hint="eastAsia"/>
          <w:bCs/>
          <w:color w:val="000000"/>
          <w:lang w:val="en-US" w:eastAsia="zh-CN"/>
        </w:rPr>
        <w:t>平衡重A</w:t>
      </w:r>
      <w:r>
        <w:rPr>
          <w:rFonts w:hint="eastAsia"/>
          <w:bCs/>
          <w:color w:val="000000"/>
        </w:rPr>
        <w:t>最大重量约</w:t>
      </w:r>
      <w:r>
        <w:rPr>
          <w:rFonts w:hint="eastAsia"/>
          <w:bCs/>
          <w:color w:val="000000"/>
          <w:lang w:val="en-US" w:eastAsia="zh-CN"/>
        </w:rPr>
        <w:t>5.5</w:t>
      </w:r>
      <w:r>
        <w:rPr>
          <w:rFonts w:hint="eastAsia"/>
          <w:bCs/>
          <w:color w:val="000000"/>
        </w:rPr>
        <w:t>t，钢丝绳与</w:t>
      </w:r>
      <w:r>
        <w:rPr>
          <w:rFonts w:hint="eastAsia"/>
          <w:bCs/>
          <w:color w:val="000000"/>
          <w:lang w:val="en-US" w:eastAsia="zh-CN"/>
        </w:rPr>
        <w:t>平衡重A</w:t>
      </w:r>
      <w:r>
        <w:rPr>
          <w:rFonts w:hint="eastAsia"/>
          <w:bCs/>
          <w:color w:val="000000"/>
        </w:rPr>
        <w:t>成60°夹角，</w:t>
      </w:r>
      <w:r>
        <w:rPr>
          <w:rFonts w:hint="eastAsia"/>
          <w:bCs/>
          <w:color w:val="000000"/>
          <w:lang w:val="en-US" w:eastAsia="zh-CN"/>
        </w:rPr>
        <w:t>平衡重A</w:t>
      </w:r>
      <w:r>
        <w:rPr>
          <w:rFonts w:hint="eastAsia"/>
          <w:bCs/>
          <w:color w:val="000000"/>
        </w:rPr>
        <w:t>吊装采用两点吊，钢丝绳采用压制接头。</w:t>
      </w:r>
    </w:p>
    <w:p w14:paraId="6E075AB4">
      <w:pPr>
        <w:widowControl w:val="0"/>
        <w:rPr>
          <w:rFonts w:hint="eastAsia"/>
          <w:bCs/>
          <w:color w:val="000000"/>
        </w:rPr>
      </w:pPr>
      <w:r>
        <w:rPr>
          <w:rFonts w:hint="eastAsia"/>
          <w:bCs/>
          <w:color w:val="000000"/>
        </w:rPr>
        <w:t>每根钢丝绳最小破断拉力：</w:t>
      </w:r>
    </w:p>
    <w:p w14:paraId="035D2849">
      <w:pPr>
        <w:widowControl w:val="0"/>
        <w:spacing w:line="240" w:lineRule="auto"/>
        <w:rPr>
          <w:rFonts w:hint="eastAsia"/>
          <w:bCs/>
          <w:color w:val="000000"/>
          <w:lang w:val="en-US" w:eastAsia="zh-CN"/>
        </w:rPr>
      </w:pPr>
      <m:oMathPara>
        <m:oMath>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F</m:t>
              </m:r>
              <m:ctrlPr>
                <w:rPr>
                  <w:rFonts w:hint="default" w:ascii="Cambria Math" w:hAnsi="Cambria Math"/>
                  <w:bCs/>
                  <w:color w:val="000000"/>
                </w:rPr>
              </m:ctrlPr>
            </m:e>
            <m:sub>
              <m:r>
                <m:rPr>
                  <m:nor/>
                  <m:sty m:val="p"/>
                </m:rPr>
                <w:rPr>
                  <w:rFonts w:hint="eastAsia" w:ascii="Times New Roman" w:hAnsi="Times New Roman"/>
                  <w:b w:val="0"/>
                  <w:bCs/>
                  <w:i w:val="0"/>
                  <w:color w:val="000000"/>
                </w:rPr>
                <m:t>0</m:t>
              </m:r>
              <m:ctrlPr>
                <w:rPr>
                  <w:rFonts w:hint="default" w:ascii="Cambria Math" w:hAnsi="Cambria Math"/>
                  <w:bCs/>
                  <w:color w:val="000000"/>
                </w:rPr>
              </m:ctrlPr>
            </m:sub>
          </m:sSub>
          <m:r>
            <m:rPr>
              <m:nor/>
              <m:sty m:val="p"/>
            </m:rPr>
            <w:rPr>
              <w:rFonts w:hint="eastAsia" w:ascii="Times New Roman" w:hAnsi="Times New Roman"/>
              <w:b w:val="0"/>
              <w:bCs/>
              <w:i w:val="0"/>
              <w:color w:val="000000"/>
            </w:rPr>
            <m:t>=</m:t>
          </m:r>
          <m:f>
            <m:fPr>
              <m:ctrlPr>
                <w:rPr>
                  <w:rFonts w:hint="default" w:ascii="Cambria Math" w:hAnsi="Cambria Math"/>
                  <w:bCs/>
                  <w:color w:val="000000"/>
                </w:rPr>
              </m:ctrlPr>
            </m:fPr>
            <m:num>
              <m:r>
                <m:rPr>
                  <m:nor/>
                  <m:sty m:val="p"/>
                </m:rPr>
                <w:rPr>
                  <w:rFonts w:hint="eastAsia" w:ascii="Times New Roman" w:hAnsi="Times New Roman"/>
                  <w:b w:val="0"/>
                  <w:bCs/>
                  <w:i w:val="0"/>
                  <w:color w:val="000000"/>
                </w:rPr>
                <m:t>WLL×</m:t>
              </m:r>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K</m:t>
                  </m:r>
                  <m:ctrlPr>
                    <w:rPr>
                      <w:rFonts w:hint="default" w:ascii="Cambria Math" w:hAnsi="Cambria Math"/>
                      <w:bCs/>
                      <w:color w:val="000000"/>
                    </w:rPr>
                  </m:ctrlPr>
                </m:e>
                <m:sub>
                  <m:r>
                    <m:rPr>
                      <m:nor/>
                      <m:sty m:val="p"/>
                    </m:rPr>
                    <w:rPr>
                      <w:rFonts w:hint="eastAsia" w:ascii="Times New Roman" w:hAnsi="Times New Roman"/>
                      <w:b w:val="0"/>
                      <w:bCs/>
                      <w:i w:val="0"/>
                      <w:color w:val="000000"/>
                    </w:rPr>
                    <m:t>m</m:t>
                  </m:r>
                  <m:ctrlPr>
                    <w:rPr>
                      <w:rFonts w:hint="default" w:ascii="Cambria Math" w:hAnsi="Cambria Math"/>
                      <w:bCs/>
                      <w:color w:val="000000"/>
                    </w:rPr>
                  </m:ctrlPr>
                </m:sub>
              </m:sSub>
              <m:r>
                <m:rPr>
                  <m:nor/>
                  <m:sty m:val="p"/>
                </m:rPr>
                <w:rPr>
                  <w:rFonts w:hint="eastAsia" w:ascii="Times New Roman" w:hAnsi="Times New Roman"/>
                  <w:b w:val="0"/>
                  <w:bCs/>
                  <w:i w:val="0"/>
                  <w:color w:val="000000"/>
                </w:rPr>
                <m:t>×</m:t>
              </m:r>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K</m:t>
                  </m:r>
                  <m:ctrlPr>
                    <w:rPr>
                      <w:rFonts w:hint="default" w:ascii="Cambria Math" w:hAnsi="Cambria Math"/>
                      <w:bCs/>
                      <w:color w:val="000000"/>
                    </w:rPr>
                  </m:ctrlPr>
                </m:e>
                <m:sub>
                  <m:r>
                    <m:rPr>
                      <m:nor/>
                      <m:sty m:val="p"/>
                    </m:rPr>
                    <w:rPr>
                      <w:rFonts w:hint="eastAsia" w:ascii="Times New Roman" w:hAnsi="Times New Roman"/>
                      <w:b w:val="0"/>
                      <w:bCs/>
                      <w:i w:val="0"/>
                      <w:color w:val="000000"/>
                    </w:rPr>
                    <m:t>u</m:t>
                  </m:r>
                  <m:ctrlPr>
                    <w:rPr>
                      <w:rFonts w:hint="default" w:ascii="Cambria Math" w:hAnsi="Cambria Math"/>
                      <w:bCs/>
                      <w:color w:val="000000"/>
                    </w:rPr>
                  </m:ctrlPr>
                </m:sub>
              </m:sSub>
              <m:ctrlPr>
                <w:rPr>
                  <w:rFonts w:hint="default" w:ascii="Cambria Math" w:hAnsi="Cambria Math"/>
                  <w:bCs/>
                  <w:color w:val="000000"/>
                </w:rPr>
              </m:ctrlPr>
            </m:num>
            <m:den>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K</m:t>
                  </m:r>
                  <m:ctrlPr>
                    <w:rPr>
                      <w:rFonts w:hint="default" w:ascii="Cambria Math" w:hAnsi="Cambria Math"/>
                      <w:bCs/>
                      <w:color w:val="000000"/>
                    </w:rPr>
                  </m:ctrlPr>
                </m:e>
                <m:sub>
                  <m:r>
                    <m:rPr>
                      <m:nor/>
                      <m:sty m:val="p"/>
                    </m:rPr>
                    <w:rPr>
                      <w:rFonts w:hint="eastAsia" w:ascii="Times New Roman" w:hAnsi="Times New Roman"/>
                      <w:b w:val="0"/>
                      <w:bCs/>
                      <w:i w:val="0"/>
                      <w:color w:val="000000"/>
                    </w:rPr>
                    <m:t>e</m:t>
                  </m:r>
                  <m:ctrlPr>
                    <w:rPr>
                      <w:rFonts w:hint="default" w:ascii="Cambria Math" w:hAnsi="Cambria Math"/>
                      <w:bCs/>
                      <w:color w:val="000000"/>
                    </w:rPr>
                  </m:ctrlPr>
                </m:sub>
              </m:sSub>
              <m:r>
                <m:rPr>
                  <m:nor/>
                  <m:sty m:val="p"/>
                </m:rPr>
                <w:rPr>
                  <w:rFonts w:hint="eastAsia" w:ascii="Times New Roman" w:hAnsi="Times New Roman"/>
                  <w:b w:val="0"/>
                  <w:bCs/>
                  <w:i w:val="0"/>
                  <w:color w:val="000000"/>
                </w:rPr>
                <m:t>×K</m:t>
              </m:r>
              <m:ctrlPr>
                <w:rPr>
                  <w:rFonts w:hint="default" w:ascii="Cambria Math" w:hAnsi="Cambria Math"/>
                  <w:bCs/>
                  <w:color w:val="000000"/>
                </w:rPr>
              </m:ctrlPr>
            </m:den>
          </m:f>
          <m:r>
            <m:rPr>
              <m:nor/>
              <m:sty m:val="p"/>
            </m:rPr>
            <w:rPr>
              <w:rFonts w:hint="eastAsia" w:ascii="Times New Roman" w:hAnsi="Times New Roman"/>
              <w:b w:val="0"/>
              <w:bCs/>
              <w:i w:val="0"/>
              <w:color w:val="000000"/>
            </w:rPr>
            <m:t>=</m:t>
          </m:r>
          <m:f>
            <m:fPr>
              <m:ctrlPr>
                <w:rPr>
                  <w:rFonts w:hint="default" w:ascii="Cambria Math" w:hAnsi="Cambria Math"/>
                  <w:bCs/>
                  <w:color w:val="000000"/>
                </w:rPr>
              </m:ctrlPr>
            </m:fPr>
            <m:num>
              <m:r>
                <m:rPr>
                  <m:nor/>
                  <m:sty m:val="p"/>
                </m:rPr>
                <w:rPr>
                  <w:rFonts w:hint="default" w:ascii="Cambria Math" w:hAnsi="Cambria Math"/>
                  <w:b w:val="0"/>
                  <w:bCs/>
                  <w:i w:val="0"/>
                  <w:color w:val="000000"/>
                  <w:lang w:val="en-US" w:eastAsia="zh-CN"/>
                </w:rPr>
                <m:t>5.5</m:t>
              </m:r>
              <m:r>
                <m:rPr>
                  <m:nor/>
                  <m:sty m:val="p"/>
                </m:rPr>
                <w:rPr>
                  <w:rFonts w:hint="eastAsia" w:ascii="Times New Roman" w:hAnsi="Times New Roman"/>
                  <w:b w:val="0"/>
                  <w:bCs/>
                  <w:i w:val="0"/>
                  <w:color w:val="000000"/>
                </w:rPr>
                <m:t>×9.80665×6</m:t>
              </m:r>
              <m:r>
                <m:rPr>
                  <m:nor/>
                  <m:sty m:val="p"/>
                </m:rPr>
                <w:rPr>
                  <w:rFonts w:hint="eastAsia" w:ascii="Times New Roman" w:hAnsi="Times New Roman"/>
                  <w:b w:val="0"/>
                  <w:bCs/>
                  <w:i w:val="0"/>
                  <w:color w:val="000000"/>
                  <w:lang w:val="en-US" w:eastAsia="zh-CN"/>
                </w:rPr>
                <m:t>×</m:t>
              </m:r>
              <m:r>
                <m:rPr>
                  <m:nor/>
                  <m:sty m:val="p"/>
                </m:rPr>
                <w:rPr>
                  <w:rFonts w:hint="default" w:ascii="Times New Roman" w:hAnsi="Times New Roman"/>
                  <w:b w:val="0"/>
                  <w:bCs/>
                  <w:i w:val="0"/>
                  <w:color w:val="000000"/>
                  <w:lang w:val="en-US" w:eastAsia="zh-CN"/>
                </w:rPr>
                <m:t>1.1</m:t>
              </m:r>
              <m:ctrlPr>
                <w:rPr>
                  <w:rFonts w:hint="default" w:ascii="Cambria Math" w:hAnsi="Cambria Math"/>
                  <w:bCs/>
                  <w:color w:val="000000"/>
                </w:rPr>
              </m:ctrlPr>
            </m:num>
            <m:den>
              <m:r>
                <m:rPr>
                  <m:nor/>
                  <m:sty m:val="p"/>
                </m:rPr>
                <w:rPr>
                  <w:rFonts w:hint="eastAsia" w:ascii="Times New Roman" w:hAnsi="Times New Roman"/>
                  <w:b w:val="0"/>
                  <w:bCs/>
                  <w:i w:val="0"/>
                  <w:color w:val="000000"/>
                </w:rPr>
                <m:t>0.9×1.4</m:t>
              </m:r>
              <m:ctrlPr>
                <w:rPr>
                  <w:rFonts w:hint="default" w:ascii="Cambria Math" w:hAnsi="Cambria Math"/>
                  <w:bCs/>
                  <w:color w:val="000000"/>
                </w:rPr>
              </m:ctrlPr>
            </m:den>
          </m:f>
          <m:r>
            <m:rPr>
              <m:nor/>
              <m:sty m:val="p"/>
            </m:rPr>
            <w:rPr>
              <w:rFonts w:hint="eastAsia" w:ascii="Times New Roman" w:hAnsi="Times New Roman"/>
              <w:b w:val="0"/>
              <w:bCs/>
              <w:i w:val="0"/>
              <w:color w:val="000000"/>
            </w:rPr>
            <m:t>=</m:t>
          </m:r>
          <m:r>
            <m:rPr>
              <m:nor/>
              <m:sty m:val="p"/>
            </m:rPr>
            <w:rPr>
              <w:rFonts w:hint="default" w:ascii="Times New Roman" w:hAnsi="Times New Roman"/>
              <w:b w:val="0"/>
              <w:bCs/>
              <w:i w:val="0"/>
              <w:color w:val="000000"/>
              <w:lang w:val="en-US" w:eastAsia="zh-CN"/>
            </w:rPr>
            <m:t>282.53</m:t>
          </m:r>
          <m:r>
            <m:rPr>
              <m:nor/>
              <m:sty m:val="p"/>
            </m:rPr>
            <w:rPr>
              <w:rFonts w:hint="eastAsia" w:ascii="Times New Roman" w:hAnsi="Times New Roman"/>
              <w:b w:val="0"/>
              <w:bCs/>
              <w:i w:val="0"/>
              <w:color w:val="000000"/>
            </w:rPr>
            <m:t>kN</m:t>
          </m:r>
        </m:oMath>
      </m:oMathPara>
    </w:p>
    <w:p w14:paraId="494834A5">
      <w:pPr>
        <w:widowControl w:val="0"/>
        <w:rPr>
          <w:rFonts w:hint="eastAsia"/>
          <w:bCs/>
          <w:color w:val="000000"/>
        </w:rPr>
      </w:pPr>
      <w:r>
        <w:rPr>
          <w:rFonts w:hint="eastAsia"/>
          <w:bCs/>
          <w:color w:val="000000"/>
        </w:rPr>
        <w:t>则钢丝绳最小公称直径：</w:t>
      </w:r>
    </w:p>
    <w:p w14:paraId="45B03EED">
      <w:pPr>
        <w:widowControl w:val="0"/>
        <w:spacing w:line="240" w:lineRule="auto"/>
        <w:rPr>
          <w:rFonts w:hint="eastAsia"/>
          <w:bCs/>
          <w:color w:val="000000"/>
          <w:lang w:val="en-US" w:eastAsia="zh-CN"/>
        </w:rPr>
      </w:pPr>
      <m:oMathPara>
        <m:oMath>
          <m:r>
            <m:rPr>
              <m:nor/>
              <m:sty m:val="p"/>
            </m:rPr>
            <w:rPr>
              <w:rFonts w:hint="eastAsia" w:ascii="Times New Roman" w:hAnsi="Times New Roman"/>
              <w:b w:val="0"/>
              <w:bCs/>
              <w:i w:val="0"/>
              <w:color w:val="000000"/>
            </w:rPr>
            <m:t>D=</m:t>
          </m:r>
          <m:rad>
            <m:radPr>
              <m:degHide m:val="1"/>
              <m:ctrlPr>
                <w:rPr>
                  <w:rFonts w:hint="default" w:ascii="Cambria Math" w:hAnsi="Cambria Math"/>
                  <w:bCs/>
                  <w:color w:val="000000"/>
                </w:rPr>
              </m:ctrlPr>
            </m:radPr>
            <m:deg>
              <m:ctrlPr>
                <w:rPr>
                  <w:rFonts w:hint="default" w:ascii="Cambria Math" w:hAnsi="Cambria Math"/>
                  <w:bCs/>
                  <w:color w:val="000000"/>
                </w:rPr>
              </m:ctrlPr>
            </m:deg>
            <m:e>
              <m:f>
                <m:fPr>
                  <m:ctrlPr>
                    <w:rPr>
                      <w:rFonts w:hint="default" w:ascii="Cambria Math" w:hAnsi="Cambria Math"/>
                      <w:bCs/>
                      <w:color w:val="000000"/>
                    </w:rPr>
                  </m:ctrlPr>
                </m:fPr>
                <m:num>
                  <m:r>
                    <m:rPr>
                      <m:nor/>
                      <m:sty m:val="p"/>
                    </m:rPr>
                    <w:rPr>
                      <w:rFonts w:hint="eastAsia" w:ascii="Times New Roman" w:hAnsi="Times New Roman"/>
                      <w:b w:val="0"/>
                      <w:bCs/>
                      <w:i w:val="0"/>
                      <w:color w:val="000000"/>
                    </w:rPr>
                    <m:t>1000×</m:t>
                  </m:r>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F</m:t>
                      </m:r>
                      <m:ctrlPr>
                        <w:rPr>
                          <w:rFonts w:hint="default" w:ascii="Cambria Math" w:hAnsi="Cambria Math"/>
                          <w:bCs/>
                          <w:color w:val="000000"/>
                        </w:rPr>
                      </m:ctrlPr>
                    </m:e>
                    <m:sub>
                      <m:r>
                        <m:rPr>
                          <m:nor/>
                          <m:sty m:val="p"/>
                        </m:rPr>
                        <w:rPr>
                          <w:rFonts w:hint="eastAsia" w:ascii="Times New Roman" w:hAnsi="Times New Roman"/>
                          <w:b w:val="0"/>
                          <w:bCs/>
                          <w:i w:val="0"/>
                          <w:color w:val="000000"/>
                        </w:rPr>
                        <m:t>0</m:t>
                      </m:r>
                      <m:ctrlPr>
                        <w:rPr>
                          <w:rFonts w:hint="default" w:ascii="Cambria Math" w:hAnsi="Cambria Math"/>
                          <w:bCs/>
                          <w:color w:val="000000"/>
                        </w:rPr>
                      </m:ctrlPr>
                    </m:sub>
                  </m:sSub>
                  <m:ctrlPr>
                    <w:rPr>
                      <w:rFonts w:hint="default" w:ascii="Cambria Math" w:hAnsi="Cambria Math"/>
                      <w:bCs/>
                      <w:color w:val="000000"/>
                    </w:rPr>
                  </m:ctrlPr>
                </m:num>
                <m:den>
                  <m:sSup>
                    <m:sSupPr>
                      <m:ctrlPr>
                        <w:rPr>
                          <w:rFonts w:hint="default" w:ascii="Cambria Math" w:hAnsi="Cambria Math"/>
                          <w:bCs/>
                          <w:color w:val="000000"/>
                        </w:rPr>
                      </m:ctrlPr>
                    </m:sSupPr>
                    <m:e>
                      <m:r>
                        <m:rPr>
                          <m:nor/>
                          <m:sty m:val="p"/>
                        </m:rPr>
                        <w:rPr>
                          <w:rFonts w:hint="eastAsia" w:ascii="Times New Roman" w:hAnsi="Times New Roman"/>
                          <w:b w:val="0"/>
                          <w:bCs/>
                          <w:i w:val="0"/>
                          <w:color w:val="000000"/>
                        </w:rPr>
                        <m:t>K</m:t>
                      </m:r>
                      <m:ctrlPr>
                        <w:rPr>
                          <w:rFonts w:hint="default" w:ascii="Cambria Math" w:hAnsi="Cambria Math"/>
                          <w:bCs/>
                          <w:color w:val="000000"/>
                        </w:rPr>
                      </m:ctrlPr>
                    </m:e>
                    <m:sup>
                      <m:r>
                        <m:rPr>
                          <m:nor/>
                          <m:sty m:val="p"/>
                        </m:rPr>
                        <w:rPr>
                          <w:rFonts w:hint="eastAsia" w:ascii="Times New Roman" w:hAnsi="Times New Roman"/>
                          <w:b w:val="0"/>
                          <w:bCs/>
                          <w:i w:val="0"/>
                          <w:color w:val="000000"/>
                        </w:rPr>
                        <m:t>'</m:t>
                      </m:r>
                      <m:ctrlPr>
                        <w:rPr>
                          <w:rFonts w:hint="default" w:ascii="Cambria Math" w:hAnsi="Cambria Math"/>
                          <w:bCs/>
                          <w:color w:val="000000"/>
                        </w:rPr>
                      </m:ctrlPr>
                    </m:sup>
                  </m:sSup>
                  <m:r>
                    <m:rPr>
                      <m:nor/>
                      <m:sty m:val="p"/>
                    </m:rPr>
                    <w:rPr>
                      <w:rFonts w:hint="eastAsia" w:ascii="Times New Roman" w:hAnsi="Times New Roman"/>
                      <w:b w:val="0"/>
                      <w:bCs/>
                      <w:i w:val="0"/>
                      <w:color w:val="000000"/>
                    </w:rPr>
                    <m:t>×</m:t>
                  </m:r>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R</m:t>
                      </m:r>
                      <m:ctrlPr>
                        <w:rPr>
                          <w:rFonts w:hint="default" w:ascii="Cambria Math" w:hAnsi="Cambria Math"/>
                          <w:bCs/>
                          <w:color w:val="000000"/>
                        </w:rPr>
                      </m:ctrlPr>
                    </m:e>
                    <m:sub>
                      <m:r>
                        <m:rPr>
                          <m:nor/>
                          <m:sty m:val="p"/>
                        </m:rPr>
                        <w:rPr>
                          <w:rFonts w:hint="eastAsia" w:ascii="Times New Roman" w:hAnsi="Times New Roman"/>
                          <w:b w:val="0"/>
                          <w:bCs/>
                          <w:i w:val="0"/>
                          <w:color w:val="000000"/>
                        </w:rPr>
                        <m:t>0</m:t>
                      </m:r>
                      <m:ctrlPr>
                        <w:rPr>
                          <w:rFonts w:hint="default" w:ascii="Cambria Math" w:hAnsi="Cambria Math"/>
                          <w:bCs/>
                          <w:color w:val="000000"/>
                        </w:rPr>
                      </m:ctrlPr>
                    </m:sub>
                  </m:sSub>
                  <m:ctrlPr>
                    <w:rPr>
                      <w:rFonts w:hint="default" w:ascii="Cambria Math" w:hAnsi="Cambria Math"/>
                      <w:bCs/>
                      <w:color w:val="000000"/>
                    </w:rPr>
                  </m:ctrlPr>
                </m:den>
              </m:f>
              <m:ctrlPr>
                <w:rPr>
                  <w:rFonts w:hint="default" w:ascii="Cambria Math" w:hAnsi="Cambria Math"/>
                  <w:bCs/>
                  <w:color w:val="000000"/>
                </w:rPr>
              </m:ctrlPr>
            </m:e>
          </m:rad>
          <m:r>
            <m:rPr>
              <m:nor/>
              <m:sty m:val="p"/>
            </m:rPr>
            <w:rPr>
              <w:rFonts w:hint="eastAsia" w:ascii="Times New Roman" w:hAnsi="Times New Roman"/>
              <w:b w:val="0"/>
              <w:bCs/>
              <w:i w:val="0"/>
              <w:color w:val="000000"/>
            </w:rPr>
            <m:t>=</m:t>
          </m:r>
          <m:rad>
            <m:radPr>
              <m:degHide m:val="1"/>
              <m:ctrlPr>
                <w:rPr>
                  <w:rFonts w:hint="default" w:ascii="Cambria Math" w:hAnsi="Cambria Math"/>
                  <w:bCs/>
                  <w:color w:val="000000"/>
                </w:rPr>
              </m:ctrlPr>
            </m:radPr>
            <m:deg>
              <m:ctrlPr>
                <w:rPr>
                  <w:rFonts w:hint="default" w:ascii="Cambria Math" w:hAnsi="Cambria Math"/>
                  <w:bCs/>
                  <w:color w:val="000000"/>
                </w:rPr>
              </m:ctrlPr>
            </m:deg>
            <m:e>
              <m:f>
                <m:fPr>
                  <m:ctrlPr>
                    <w:rPr>
                      <w:rFonts w:hint="default" w:ascii="Cambria Math" w:hAnsi="Cambria Math"/>
                      <w:bCs/>
                      <w:color w:val="000000"/>
                    </w:rPr>
                  </m:ctrlPr>
                </m:fPr>
                <m:num>
                  <m:r>
                    <m:rPr>
                      <m:nor/>
                      <m:sty m:val="p"/>
                    </m:rPr>
                    <w:rPr>
                      <w:rFonts w:hint="eastAsia" w:ascii="Times New Roman" w:hAnsi="Times New Roman"/>
                      <w:b w:val="0"/>
                      <w:bCs/>
                      <w:i w:val="0"/>
                      <w:color w:val="000000"/>
                    </w:rPr>
                    <m:t>1000×</m:t>
                  </m:r>
                  <m:r>
                    <m:rPr>
                      <m:nor/>
                      <m:sty m:val="p"/>
                    </m:rPr>
                    <w:rPr>
                      <w:rFonts w:hint="default" w:ascii="Times New Roman" w:hAnsi="Times New Roman"/>
                      <w:b w:val="0"/>
                      <w:bCs/>
                      <w:i w:val="0"/>
                      <w:color w:val="000000"/>
                      <w:lang w:val="en-US" w:eastAsia="zh-CN"/>
                    </w:rPr>
                    <m:t>282.53</m:t>
                  </m:r>
                  <m:ctrlPr>
                    <w:rPr>
                      <w:rFonts w:hint="default" w:ascii="Cambria Math" w:hAnsi="Cambria Math"/>
                      <w:bCs/>
                      <w:color w:val="000000"/>
                    </w:rPr>
                  </m:ctrlPr>
                </m:num>
                <m:den>
                  <m:r>
                    <m:rPr>
                      <m:nor/>
                      <m:sty m:val="p"/>
                    </m:rPr>
                    <w:rPr>
                      <w:rFonts w:hint="eastAsia" w:ascii="Times New Roman" w:hAnsi="Times New Roman"/>
                      <w:b w:val="0"/>
                      <w:bCs/>
                      <w:i w:val="0"/>
                      <w:color w:val="000000"/>
                    </w:rPr>
                    <m:t>0.33×1</m:t>
                  </m:r>
                  <m:r>
                    <m:rPr>
                      <m:nor/>
                      <m:sty m:val="p"/>
                    </m:rPr>
                    <w:rPr>
                      <w:rFonts w:hint="default" w:ascii="Times New Roman" w:hAnsi="Times New Roman"/>
                      <w:b w:val="0"/>
                      <w:bCs/>
                      <w:i w:val="0"/>
                      <w:color w:val="000000"/>
                      <w:lang w:val="en-US" w:eastAsia="zh-CN"/>
                    </w:rPr>
                    <m:t>87</m:t>
                  </m:r>
                  <m:r>
                    <m:rPr>
                      <m:nor/>
                      <m:sty m:val="p"/>
                    </m:rPr>
                    <w:rPr>
                      <w:rFonts w:hint="eastAsia" w:ascii="Times New Roman" w:hAnsi="Times New Roman"/>
                      <w:b w:val="0"/>
                      <w:bCs/>
                      <w:i w:val="0"/>
                      <w:color w:val="000000"/>
                    </w:rPr>
                    <m:t>0</m:t>
                  </m:r>
                  <m:ctrlPr>
                    <w:rPr>
                      <w:rFonts w:hint="default" w:ascii="Cambria Math" w:hAnsi="Cambria Math"/>
                      <w:bCs/>
                      <w:color w:val="000000"/>
                    </w:rPr>
                  </m:ctrlPr>
                </m:den>
              </m:f>
              <m:ctrlPr>
                <w:rPr>
                  <w:rFonts w:hint="default" w:ascii="Cambria Math" w:hAnsi="Cambria Math"/>
                  <w:bCs/>
                  <w:color w:val="000000"/>
                </w:rPr>
              </m:ctrlPr>
            </m:e>
          </m:rad>
          <m:r>
            <m:rPr>
              <m:nor/>
              <m:sty m:val="p"/>
            </m:rPr>
            <w:rPr>
              <w:rFonts w:hint="eastAsia" w:ascii="Times New Roman" w:hAnsi="Times New Roman"/>
              <w:b w:val="0"/>
              <w:bCs/>
              <w:i w:val="0"/>
              <w:color w:val="000000"/>
            </w:rPr>
            <m:t>=</m:t>
          </m:r>
          <m:r>
            <m:rPr>
              <m:nor/>
              <m:sty m:val="p"/>
            </m:rPr>
            <w:rPr>
              <w:rFonts w:hint="default" w:ascii="Times New Roman" w:hAnsi="Times New Roman"/>
              <w:b w:val="0"/>
              <w:bCs/>
              <w:i w:val="0"/>
              <w:color w:val="000000"/>
              <w:lang w:val="en-US" w:eastAsia="zh-CN"/>
            </w:rPr>
            <m:t>21.40</m:t>
          </m:r>
          <m:r>
            <m:rPr>
              <m:nor/>
              <m:sty m:val="p"/>
            </m:rPr>
            <w:rPr>
              <w:rFonts w:hint="eastAsia" w:ascii="Times New Roman" w:hAnsi="Times New Roman"/>
              <w:b w:val="0"/>
              <w:bCs/>
              <w:i w:val="0"/>
              <w:color w:val="000000"/>
            </w:rPr>
            <m:t>mm</m:t>
          </m:r>
        </m:oMath>
      </m:oMathPara>
    </w:p>
    <w:p w14:paraId="3ADB00DD">
      <w:pPr>
        <w:widowControl w:val="0"/>
        <w:rPr>
          <w:rFonts w:hint="eastAsia"/>
          <w:bCs/>
          <w:color w:val="000000"/>
        </w:rPr>
      </w:pPr>
      <w:r>
        <w:rPr>
          <w:rFonts w:hint="eastAsia"/>
          <w:bCs/>
          <w:color w:val="000000"/>
        </w:rPr>
        <w:t>采用</w:t>
      </w:r>
      <w:r>
        <w:rPr>
          <w:rFonts w:hint="eastAsia"/>
          <w:bCs/>
          <w:color w:val="000000"/>
          <w:lang w:val="en-US" w:eastAsia="zh-CN"/>
        </w:rPr>
        <w:t>φ22mm</w:t>
      </w:r>
      <w:r>
        <w:rPr>
          <w:rFonts w:hint="eastAsia"/>
          <w:bCs/>
          <w:color w:val="000000"/>
        </w:rPr>
        <w:t>钢丝绳可满足要求。</w:t>
      </w:r>
    </w:p>
    <w:p w14:paraId="0FC50887">
      <w:pPr>
        <w:pStyle w:val="4"/>
        <w:bidi w:val="0"/>
        <w:rPr>
          <w:rFonts w:hint="eastAsia" w:ascii="Times New Roman" w:hAnsi="Times New Roman" w:eastAsia="宋体" w:cstheme="majorBidi"/>
          <w:b/>
          <w:bCs/>
          <w:kern w:val="2"/>
          <w:sz w:val="24"/>
          <w:szCs w:val="32"/>
          <w:lang w:val="en-US" w:eastAsia="zh-CN" w:bidi="ar-SA"/>
        </w:rPr>
      </w:pPr>
      <w:r>
        <w:rPr>
          <w:rFonts w:hint="eastAsia" w:cstheme="majorBidi"/>
          <w:b/>
          <w:bCs/>
          <w:kern w:val="2"/>
          <w:sz w:val="24"/>
          <w:szCs w:val="32"/>
          <w:lang w:val="en-US" w:eastAsia="zh-CN" w:bidi="ar-SA"/>
        </w:rPr>
        <w:t>卸扣选型</w:t>
      </w:r>
    </w:p>
    <w:p w14:paraId="6B3CC88B">
      <w:pPr>
        <w:widowControl w:val="0"/>
        <w:rPr>
          <w:rFonts w:hint="eastAsia"/>
          <w:bCs/>
          <w:color w:val="000000"/>
        </w:rPr>
      </w:pPr>
      <w:r>
        <w:rPr>
          <w:rFonts w:hint="eastAsia"/>
          <w:bCs/>
          <w:color w:val="000000"/>
        </w:rPr>
        <w:t>卸扣根据《一般起重用D形和弓形锻造卸扣》（GB/T25854-2010）的规定选用。</w:t>
      </w:r>
    </w:p>
    <w:p w14:paraId="3B478736">
      <w:pPr>
        <w:pStyle w:val="12"/>
        <w:rPr>
          <w:rFonts w:hint="eastAsia" w:eastAsia="宋体"/>
          <w:lang w:val="en-US" w:eastAsia="zh-CN"/>
        </w:rPr>
      </w:pPr>
      <w:r>
        <w:t xml:space="preserve">表 </w:t>
      </w:r>
      <w:r>
        <w:fldChar w:fldCharType="begin"/>
      </w:r>
      <w:r>
        <w:instrText xml:space="preserve"> STYLEREF 2 \s </w:instrText>
      </w:r>
      <w:r>
        <w:fldChar w:fldCharType="separate"/>
      </w:r>
      <w:r>
        <w:t>5.1</w:t>
      </w:r>
      <w:r>
        <w:fldChar w:fldCharType="end"/>
      </w:r>
      <w:r>
        <w:rPr>
          <w:rFonts w:hint="eastAsia"/>
          <w:lang w:eastAsia="zh-CN"/>
        </w:rPr>
        <w:t>-</w:t>
      </w:r>
      <w:r>
        <w:fldChar w:fldCharType="begin"/>
      </w:r>
      <w:r>
        <w:instrText xml:space="preserve"> SEQ 表 \* ARABIC \s 2 </w:instrText>
      </w:r>
      <w:r>
        <w:fldChar w:fldCharType="separate"/>
      </w:r>
      <w:r>
        <w:t>2</w:t>
      </w:r>
      <w:r>
        <w:fldChar w:fldCharType="end"/>
      </w:r>
      <w:r>
        <w:rPr>
          <w:rFonts w:hint="eastAsia"/>
          <w:lang w:val="en-US" w:eastAsia="zh-CN"/>
        </w:rPr>
        <w:t xml:space="preserve"> D形卸扣尺寸</w:t>
      </w:r>
    </w:p>
    <w:tbl>
      <w:tblPr>
        <w:tblStyle w:val="124"/>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242"/>
        <w:gridCol w:w="1242"/>
        <w:gridCol w:w="1242"/>
        <w:gridCol w:w="1105"/>
        <w:gridCol w:w="1105"/>
        <w:gridCol w:w="1267"/>
        <w:gridCol w:w="1045"/>
        <w:gridCol w:w="1136"/>
      </w:tblGrid>
      <w:tr w14:paraId="6BA858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blHeader/>
        </w:trPr>
        <w:tc>
          <w:tcPr>
            <w:tcW w:w="1986" w:type="pct"/>
            <w:gridSpan w:val="3"/>
            <w:shd w:val="clear" w:color="auto" w:fill="4472C4"/>
            <w:vAlign w:val="center"/>
          </w:tcPr>
          <w:p w14:paraId="3B4FC769">
            <w:pPr>
              <w:widowControl w:val="0"/>
              <w:spacing w:line="240" w:lineRule="auto"/>
              <w:ind w:firstLine="0" w:firstLineChars="0"/>
              <w:jc w:val="center"/>
              <w:rPr>
                <w:rFonts w:ascii="Times New Roman" w:hAnsi="Times New Roman" w:eastAsia="仿宋" w:cs="Times New Roman"/>
                <w:b w:val="0"/>
                <w:color w:val="FFFFFF"/>
                <w:kern w:val="0"/>
                <w:sz w:val="21"/>
                <w:szCs w:val="21"/>
                <w:lang w:val="en-US" w:eastAsia="zh-CN" w:bidi="ar-SA"/>
              </w:rPr>
            </w:pPr>
            <w:r>
              <w:rPr>
                <w:rFonts w:ascii="Times New Roman" w:hAnsi="Times New Roman" w:eastAsia="仿宋" w:cs="Times New Roman"/>
                <w:b/>
                <w:color w:val="FFFFFF"/>
                <w:kern w:val="0"/>
                <w:sz w:val="21"/>
                <w:szCs w:val="21"/>
                <w:lang w:val="en-US" w:eastAsia="zh-CN" w:bidi="ar-SA"/>
              </w:rPr>
              <w:t>极限工作荷载WLL</w:t>
            </w:r>
          </w:p>
        </w:tc>
        <w:tc>
          <w:tcPr>
            <w:tcW w:w="589" w:type="pct"/>
            <w:vMerge w:val="restart"/>
            <w:shd w:val="clear" w:color="auto" w:fill="4472C4"/>
            <w:vAlign w:val="center"/>
          </w:tcPr>
          <w:p w14:paraId="580E9E94">
            <w:pPr>
              <w:widowControl w:val="0"/>
              <w:spacing w:line="240" w:lineRule="auto"/>
              <w:ind w:firstLine="0" w:firstLineChars="0"/>
              <w:jc w:val="center"/>
              <w:rPr>
                <w:rFonts w:ascii="Times New Roman" w:hAnsi="Times New Roman" w:eastAsia="仿宋" w:cs="Times New Roman"/>
                <w:b w:val="0"/>
                <w:color w:val="FFFFFF"/>
                <w:kern w:val="0"/>
                <w:sz w:val="21"/>
                <w:szCs w:val="21"/>
                <w:lang w:val="en-US" w:eastAsia="zh-CN" w:bidi="ar-SA"/>
              </w:rPr>
            </w:pPr>
            <w:r>
              <w:rPr>
                <w:rFonts w:ascii="Times New Roman" w:hAnsi="Times New Roman" w:eastAsia="仿宋" w:cs="Times New Roman"/>
                <w:b/>
                <w:color w:val="FFFFFF"/>
                <w:kern w:val="0"/>
                <w:sz w:val="21"/>
                <w:szCs w:val="21"/>
                <w:lang w:val="en-US" w:eastAsia="zh-CN" w:bidi="ar-SA"/>
              </w:rPr>
              <w:t>d</w:t>
            </w:r>
            <w:r>
              <w:rPr>
                <w:rFonts w:ascii="Times New Roman" w:hAnsi="Times New Roman" w:eastAsia="仿宋" w:cs="Times New Roman"/>
                <w:b/>
                <w:color w:val="FFFFFF"/>
                <w:kern w:val="0"/>
                <w:sz w:val="21"/>
                <w:szCs w:val="21"/>
                <w:vertAlign w:val="superscript"/>
                <w:lang w:val="en-US" w:eastAsia="zh-CN" w:bidi="ar-SA"/>
              </w:rPr>
              <w:t>a</w:t>
            </w:r>
          </w:p>
          <w:p w14:paraId="0D9884C8">
            <w:pPr>
              <w:widowControl w:val="0"/>
              <w:spacing w:line="240" w:lineRule="auto"/>
              <w:ind w:firstLine="0" w:firstLineChars="0"/>
              <w:jc w:val="center"/>
              <w:rPr>
                <w:rFonts w:ascii="Times New Roman" w:hAnsi="Times New Roman" w:eastAsia="仿宋" w:cs="Times New Roman"/>
                <w:b w:val="0"/>
                <w:color w:val="FFFFFF"/>
                <w:kern w:val="0"/>
                <w:sz w:val="21"/>
                <w:szCs w:val="21"/>
                <w:lang w:val="en-US" w:eastAsia="zh-CN" w:bidi="ar-SA"/>
              </w:rPr>
            </w:pPr>
            <w:r>
              <w:rPr>
                <w:rFonts w:ascii="Times New Roman" w:hAnsi="Times New Roman" w:eastAsia="仿宋" w:cs="Times New Roman"/>
                <w:b/>
                <w:color w:val="FFFFFF"/>
                <w:kern w:val="0"/>
                <w:sz w:val="21"/>
                <w:szCs w:val="21"/>
                <w:lang w:val="en-US" w:eastAsia="zh-CN" w:bidi="ar-SA"/>
              </w:rPr>
              <w:t>max</w:t>
            </w:r>
          </w:p>
        </w:tc>
        <w:tc>
          <w:tcPr>
            <w:tcW w:w="589" w:type="pct"/>
            <w:vMerge w:val="restart"/>
            <w:shd w:val="clear" w:color="auto" w:fill="4472C4"/>
            <w:vAlign w:val="center"/>
          </w:tcPr>
          <w:p w14:paraId="0931FB8E">
            <w:pPr>
              <w:widowControl w:val="0"/>
              <w:spacing w:line="240" w:lineRule="auto"/>
              <w:ind w:firstLine="0" w:firstLineChars="0"/>
              <w:jc w:val="center"/>
              <w:rPr>
                <w:rFonts w:ascii="Times New Roman" w:hAnsi="Times New Roman" w:eastAsia="仿宋" w:cs="Times New Roman"/>
                <w:b w:val="0"/>
                <w:color w:val="FFFFFF"/>
                <w:kern w:val="0"/>
                <w:sz w:val="21"/>
                <w:szCs w:val="21"/>
                <w:lang w:val="en-US" w:eastAsia="zh-CN" w:bidi="ar-SA"/>
              </w:rPr>
            </w:pPr>
            <w:r>
              <w:rPr>
                <w:rFonts w:ascii="Times New Roman" w:hAnsi="Times New Roman" w:eastAsia="仿宋" w:cs="Times New Roman"/>
                <w:b/>
                <w:color w:val="FFFFFF"/>
                <w:kern w:val="0"/>
                <w:sz w:val="21"/>
                <w:szCs w:val="21"/>
                <w:lang w:val="en-US" w:eastAsia="zh-CN" w:bidi="ar-SA"/>
              </w:rPr>
              <w:t>D</w:t>
            </w:r>
            <w:r>
              <w:rPr>
                <w:rFonts w:ascii="Times New Roman" w:hAnsi="Times New Roman" w:eastAsia="仿宋" w:cs="Times New Roman"/>
                <w:b/>
                <w:color w:val="FFFFFF"/>
                <w:kern w:val="0"/>
                <w:sz w:val="21"/>
                <w:szCs w:val="21"/>
                <w:vertAlign w:val="superscript"/>
                <w:lang w:val="en-US" w:eastAsia="zh-CN" w:bidi="ar-SA"/>
              </w:rPr>
              <w:t>b</w:t>
            </w:r>
          </w:p>
          <w:p w14:paraId="59E344CD">
            <w:pPr>
              <w:widowControl w:val="0"/>
              <w:spacing w:line="240" w:lineRule="auto"/>
              <w:ind w:firstLine="0" w:firstLineChars="0"/>
              <w:jc w:val="center"/>
              <w:rPr>
                <w:rFonts w:ascii="Times New Roman" w:hAnsi="Times New Roman" w:eastAsia="仿宋" w:cs="Times New Roman"/>
                <w:b w:val="0"/>
                <w:color w:val="FFFFFF"/>
                <w:kern w:val="0"/>
                <w:sz w:val="21"/>
                <w:szCs w:val="21"/>
                <w:lang w:val="en-US" w:eastAsia="zh-CN" w:bidi="ar-SA"/>
              </w:rPr>
            </w:pPr>
            <w:r>
              <w:rPr>
                <w:rFonts w:ascii="Times New Roman" w:hAnsi="Times New Roman" w:eastAsia="仿宋" w:cs="Times New Roman"/>
                <w:b/>
                <w:color w:val="FFFFFF"/>
                <w:kern w:val="0"/>
                <w:sz w:val="21"/>
                <w:szCs w:val="21"/>
                <w:lang w:val="en-US" w:eastAsia="zh-CN" w:bidi="ar-SA"/>
              </w:rPr>
              <w:t>max</w:t>
            </w:r>
          </w:p>
        </w:tc>
        <w:tc>
          <w:tcPr>
            <w:tcW w:w="675" w:type="pct"/>
            <w:vMerge w:val="restart"/>
            <w:shd w:val="clear" w:color="auto" w:fill="4472C4"/>
            <w:vAlign w:val="center"/>
          </w:tcPr>
          <w:p w14:paraId="5A6D53EA">
            <w:pPr>
              <w:widowControl w:val="0"/>
              <w:spacing w:line="240" w:lineRule="auto"/>
              <w:ind w:firstLine="0" w:firstLineChars="0"/>
              <w:jc w:val="center"/>
              <w:rPr>
                <w:rFonts w:ascii="Times New Roman" w:hAnsi="Times New Roman" w:eastAsia="仿宋" w:cs="Times New Roman"/>
                <w:b w:val="0"/>
                <w:color w:val="FFFFFF"/>
                <w:kern w:val="0"/>
                <w:sz w:val="21"/>
                <w:szCs w:val="21"/>
                <w:vertAlign w:val="superscript"/>
                <w:lang w:val="en-US" w:eastAsia="zh-CN" w:bidi="ar-SA"/>
              </w:rPr>
            </w:pPr>
            <w:r>
              <w:rPr>
                <w:rFonts w:ascii="Times New Roman" w:hAnsi="Times New Roman" w:eastAsia="仿宋" w:cs="Times New Roman"/>
                <w:b/>
                <w:color w:val="FFFFFF"/>
                <w:kern w:val="0"/>
                <w:sz w:val="21"/>
                <w:szCs w:val="21"/>
                <w:lang w:val="en-US" w:eastAsia="zh-CN" w:bidi="ar-SA"/>
              </w:rPr>
              <w:t>e</w:t>
            </w:r>
            <w:r>
              <w:rPr>
                <w:rFonts w:ascii="Times New Roman" w:hAnsi="Times New Roman" w:eastAsia="仿宋" w:cs="Times New Roman"/>
                <w:b/>
                <w:color w:val="FFFFFF"/>
                <w:kern w:val="0"/>
                <w:sz w:val="21"/>
                <w:szCs w:val="21"/>
                <w:vertAlign w:val="superscript"/>
                <w:lang w:val="en-US" w:eastAsia="zh-CN" w:bidi="ar-SA"/>
              </w:rPr>
              <w:t>c</w:t>
            </w:r>
          </w:p>
          <w:p w14:paraId="3D69ACEA">
            <w:pPr>
              <w:widowControl w:val="0"/>
              <w:spacing w:line="240" w:lineRule="auto"/>
              <w:ind w:firstLine="0" w:firstLineChars="0"/>
              <w:jc w:val="center"/>
              <w:rPr>
                <w:rFonts w:ascii="Times New Roman" w:hAnsi="Times New Roman" w:eastAsia="仿宋" w:cs="Times New Roman"/>
                <w:b w:val="0"/>
                <w:color w:val="FFFFFF"/>
                <w:kern w:val="0"/>
                <w:sz w:val="21"/>
                <w:szCs w:val="21"/>
                <w:lang w:val="en-US" w:eastAsia="zh-CN" w:bidi="ar-SA"/>
              </w:rPr>
            </w:pPr>
            <w:r>
              <w:rPr>
                <w:rFonts w:ascii="Times New Roman" w:hAnsi="Times New Roman" w:eastAsia="仿宋" w:cs="Times New Roman"/>
                <w:b/>
                <w:color w:val="FFFFFF"/>
                <w:kern w:val="0"/>
                <w:sz w:val="21"/>
                <w:szCs w:val="21"/>
                <w:lang w:val="en-US" w:eastAsia="zh-CN" w:bidi="ar-SA"/>
              </w:rPr>
              <w:t>max</w:t>
            </w:r>
          </w:p>
        </w:tc>
        <w:tc>
          <w:tcPr>
            <w:tcW w:w="556" w:type="pct"/>
            <w:vMerge w:val="restart"/>
            <w:shd w:val="clear" w:color="auto" w:fill="4472C4"/>
            <w:vAlign w:val="center"/>
          </w:tcPr>
          <w:p w14:paraId="722C6C37">
            <w:pPr>
              <w:widowControl w:val="0"/>
              <w:spacing w:line="240" w:lineRule="auto"/>
              <w:ind w:firstLine="0" w:firstLineChars="0"/>
              <w:jc w:val="center"/>
              <w:rPr>
                <w:rFonts w:ascii="Times New Roman" w:hAnsi="Times New Roman" w:eastAsia="仿宋" w:cs="Times New Roman"/>
                <w:b w:val="0"/>
                <w:color w:val="FFFFFF"/>
                <w:kern w:val="0"/>
                <w:sz w:val="21"/>
                <w:szCs w:val="21"/>
                <w:lang w:val="en-US" w:eastAsia="zh-CN" w:bidi="ar-SA"/>
              </w:rPr>
            </w:pPr>
            <w:r>
              <w:rPr>
                <w:rFonts w:ascii="Times New Roman" w:hAnsi="Times New Roman" w:eastAsia="仿宋" w:cs="Times New Roman"/>
                <w:b/>
                <w:color w:val="FFFFFF"/>
                <w:kern w:val="0"/>
                <w:sz w:val="21"/>
                <w:szCs w:val="21"/>
                <w:lang w:val="en-US" w:eastAsia="zh-CN" w:bidi="ar-SA"/>
              </w:rPr>
              <w:t>S</w:t>
            </w:r>
            <w:r>
              <w:rPr>
                <w:rFonts w:ascii="Times New Roman" w:hAnsi="Times New Roman" w:eastAsia="仿宋" w:cs="Times New Roman"/>
                <w:b/>
                <w:color w:val="FFFFFF"/>
                <w:kern w:val="0"/>
                <w:sz w:val="21"/>
                <w:szCs w:val="21"/>
                <w:vertAlign w:val="superscript"/>
                <w:lang w:val="en-US" w:eastAsia="zh-CN" w:bidi="ar-SA"/>
              </w:rPr>
              <w:t>d</w:t>
            </w:r>
          </w:p>
          <w:p w14:paraId="6F6AFCD3">
            <w:pPr>
              <w:widowControl w:val="0"/>
              <w:spacing w:line="240" w:lineRule="auto"/>
              <w:ind w:firstLine="0" w:firstLineChars="0"/>
              <w:jc w:val="center"/>
              <w:rPr>
                <w:rFonts w:ascii="Times New Roman" w:hAnsi="Times New Roman" w:eastAsia="仿宋" w:cs="Times New Roman"/>
                <w:b w:val="0"/>
                <w:color w:val="FFFFFF"/>
                <w:kern w:val="0"/>
                <w:sz w:val="21"/>
                <w:szCs w:val="21"/>
                <w:lang w:val="en-US" w:eastAsia="zh-CN" w:bidi="ar-SA"/>
              </w:rPr>
            </w:pPr>
            <w:r>
              <w:rPr>
                <w:rFonts w:ascii="Times New Roman" w:hAnsi="Times New Roman" w:eastAsia="仿宋" w:cs="Times New Roman"/>
                <w:b/>
                <w:color w:val="FFFFFF"/>
                <w:kern w:val="0"/>
                <w:sz w:val="21"/>
                <w:szCs w:val="21"/>
                <w:lang w:val="en-US" w:eastAsia="zh-CN" w:bidi="ar-SA"/>
              </w:rPr>
              <w:t>min</w:t>
            </w:r>
          </w:p>
        </w:tc>
        <w:tc>
          <w:tcPr>
            <w:tcW w:w="605" w:type="pct"/>
            <w:vMerge w:val="restart"/>
            <w:shd w:val="clear" w:color="auto" w:fill="4472C4"/>
            <w:vAlign w:val="center"/>
          </w:tcPr>
          <w:p w14:paraId="3EE9DB70">
            <w:pPr>
              <w:widowControl w:val="0"/>
              <w:spacing w:line="240" w:lineRule="auto"/>
              <w:ind w:firstLine="0" w:firstLineChars="0"/>
              <w:jc w:val="center"/>
              <w:rPr>
                <w:rFonts w:ascii="Times New Roman" w:hAnsi="Times New Roman" w:eastAsia="仿宋" w:cs="Times New Roman"/>
                <w:b w:val="0"/>
                <w:color w:val="FFFFFF"/>
                <w:kern w:val="0"/>
                <w:sz w:val="21"/>
                <w:szCs w:val="21"/>
                <w:vertAlign w:val="superscript"/>
                <w:lang w:val="en-US" w:eastAsia="zh-CN" w:bidi="ar-SA"/>
              </w:rPr>
            </w:pPr>
            <w:r>
              <w:rPr>
                <w:rFonts w:ascii="Times New Roman" w:hAnsi="Times New Roman" w:eastAsia="仿宋" w:cs="Times New Roman"/>
                <w:b/>
                <w:color w:val="FFFFFF"/>
                <w:kern w:val="0"/>
                <w:sz w:val="21"/>
                <w:szCs w:val="21"/>
                <w:lang w:val="en-US" w:eastAsia="zh-CN" w:bidi="ar-SA"/>
              </w:rPr>
              <w:t>W</w:t>
            </w:r>
            <w:r>
              <w:rPr>
                <w:rFonts w:ascii="Times New Roman" w:hAnsi="Times New Roman" w:eastAsia="仿宋" w:cs="Times New Roman"/>
                <w:b/>
                <w:color w:val="FFFFFF"/>
                <w:kern w:val="0"/>
                <w:sz w:val="21"/>
                <w:szCs w:val="21"/>
                <w:vertAlign w:val="superscript"/>
                <w:lang w:val="en-US" w:eastAsia="zh-CN" w:bidi="ar-SA"/>
              </w:rPr>
              <w:t>b</w:t>
            </w:r>
          </w:p>
          <w:p w14:paraId="6A808E1A">
            <w:pPr>
              <w:widowControl w:val="0"/>
              <w:spacing w:line="240" w:lineRule="auto"/>
              <w:ind w:firstLine="0" w:firstLineChars="0"/>
              <w:jc w:val="center"/>
              <w:rPr>
                <w:rFonts w:ascii="Times New Roman" w:hAnsi="Times New Roman" w:eastAsia="仿宋" w:cs="Times New Roman"/>
                <w:b w:val="0"/>
                <w:color w:val="FFFFFF"/>
                <w:kern w:val="0"/>
                <w:sz w:val="21"/>
                <w:szCs w:val="21"/>
                <w:lang w:val="en-US" w:eastAsia="zh-CN" w:bidi="ar-SA"/>
              </w:rPr>
            </w:pPr>
            <w:r>
              <w:rPr>
                <w:rFonts w:ascii="Times New Roman" w:hAnsi="Times New Roman" w:eastAsia="仿宋" w:cs="Times New Roman"/>
                <w:b/>
                <w:color w:val="FFFFFF"/>
                <w:kern w:val="0"/>
                <w:sz w:val="21"/>
                <w:szCs w:val="21"/>
                <w:lang w:val="en-US" w:eastAsia="zh-CN" w:bidi="ar-SA"/>
              </w:rPr>
              <w:t>min</w:t>
            </w:r>
          </w:p>
        </w:tc>
      </w:tr>
      <w:tr w14:paraId="3588F6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4472C4"/>
            <w:vAlign w:val="center"/>
          </w:tcPr>
          <w:p w14:paraId="2C485A54">
            <w:pPr>
              <w:widowControl w:val="0"/>
              <w:spacing w:line="240" w:lineRule="auto"/>
              <w:ind w:firstLine="0" w:firstLineChars="0"/>
              <w:jc w:val="center"/>
              <w:rPr>
                <w:rFonts w:ascii="Times New Roman" w:hAnsi="Times New Roman" w:eastAsia="仿宋" w:cs="Times New Roman"/>
                <w:b/>
                <w:bCs/>
                <w:color w:val="FFFFFF"/>
                <w:kern w:val="0"/>
                <w:sz w:val="21"/>
                <w:szCs w:val="21"/>
                <w:lang w:val="en-US" w:eastAsia="zh-CN" w:bidi="ar-SA"/>
              </w:rPr>
            </w:pPr>
            <w:r>
              <w:rPr>
                <w:rFonts w:ascii="Times New Roman" w:hAnsi="Times New Roman" w:eastAsia="仿宋" w:cs="Times New Roman"/>
                <w:b/>
                <w:bCs/>
                <w:color w:val="FFFFFF"/>
                <w:kern w:val="0"/>
                <w:sz w:val="21"/>
                <w:szCs w:val="21"/>
                <w:lang w:val="en-US" w:eastAsia="zh-CN" w:bidi="ar-SA"/>
              </w:rPr>
              <w:t>4级</w:t>
            </w:r>
          </w:p>
        </w:tc>
        <w:tc>
          <w:tcPr>
            <w:tcW w:w="662" w:type="pct"/>
            <w:shd w:val="clear" w:color="auto" w:fill="4472C4"/>
            <w:vAlign w:val="center"/>
          </w:tcPr>
          <w:p w14:paraId="101B8F2E">
            <w:pPr>
              <w:widowControl w:val="0"/>
              <w:spacing w:line="240" w:lineRule="auto"/>
              <w:ind w:firstLine="0" w:firstLineChars="0"/>
              <w:jc w:val="center"/>
              <w:rPr>
                <w:rFonts w:ascii="Times New Roman" w:hAnsi="Times New Roman" w:eastAsia="仿宋" w:cs="Times New Roman"/>
                <w:b/>
                <w:bCs/>
                <w:color w:val="FFFFFF"/>
                <w:kern w:val="0"/>
                <w:sz w:val="21"/>
                <w:szCs w:val="21"/>
                <w:lang w:val="en-US" w:eastAsia="zh-CN" w:bidi="ar-SA"/>
              </w:rPr>
            </w:pPr>
            <w:r>
              <w:rPr>
                <w:rFonts w:ascii="Times New Roman" w:hAnsi="Times New Roman" w:eastAsia="仿宋" w:cs="Times New Roman"/>
                <w:b/>
                <w:bCs/>
                <w:color w:val="FFFFFF"/>
                <w:kern w:val="0"/>
                <w:sz w:val="21"/>
                <w:szCs w:val="21"/>
                <w:lang w:val="en-US" w:eastAsia="zh-CN" w:bidi="ar-SA"/>
              </w:rPr>
              <w:t>6级</w:t>
            </w:r>
          </w:p>
        </w:tc>
        <w:tc>
          <w:tcPr>
            <w:tcW w:w="662" w:type="pct"/>
            <w:shd w:val="clear" w:color="auto" w:fill="4472C4"/>
            <w:vAlign w:val="center"/>
          </w:tcPr>
          <w:p w14:paraId="5E7DCD94">
            <w:pPr>
              <w:widowControl w:val="0"/>
              <w:spacing w:line="240" w:lineRule="auto"/>
              <w:ind w:firstLine="0" w:firstLineChars="0"/>
              <w:jc w:val="center"/>
              <w:rPr>
                <w:rFonts w:ascii="Times New Roman" w:hAnsi="Times New Roman" w:eastAsia="仿宋" w:cs="Times New Roman"/>
                <w:b/>
                <w:bCs/>
                <w:color w:val="FFFFFF"/>
                <w:kern w:val="0"/>
                <w:sz w:val="21"/>
                <w:szCs w:val="21"/>
                <w:lang w:val="en-US" w:eastAsia="zh-CN" w:bidi="ar-SA"/>
              </w:rPr>
            </w:pPr>
            <w:r>
              <w:rPr>
                <w:rFonts w:ascii="Times New Roman" w:hAnsi="Times New Roman" w:eastAsia="仿宋" w:cs="Times New Roman"/>
                <w:b/>
                <w:bCs/>
                <w:color w:val="FFFFFF"/>
                <w:kern w:val="0"/>
                <w:sz w:val="21"/>
                <w:szCs w:val="21"/>
                <w:lang w:val="en-US" w:eastAsia="zh-CN" w:bidi="ar-SA"/>
              </w:rPr>
              <w:t>8级</w:t>
            </w:r>
          </w:p>
        </w:tc>
        <w:tc>
          <w:tcPr>
            <w:tcW w:w="589" w:type="pct"/>
            <w:vMerge w:val="continue"/>
            <w:shd w:val="clear" w:color="auto" w:fill="auto"/>
            <w:vAlign w:val="center"/>
          </w:tcPr>
          <w:p w14:paraId="06EDFEE1">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p>
        </w:tc>
        <w:tc>
          <w:tcPr>
            <w:tcW w:w="589" w:type="pct"/>
            <w:vMerge w:val="continue"/>
            <w:shd w:val="clear" w:color="auto" w:fill="auto"/>
            <w:vAlign w:val="center"/>
          </w:tcPr>
          <w:p w14:paraId="11213AE3">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p>
        </w:tc>
        <w:tc>
          <w:tcPr>
            <w:tcW w:w="675" w:type="pct"/>
            <w:vMerge w:val="continue"/>
            <w:shd w:val="clear" w:color="auto" w:fill="auto"/>
            <w:vAlign w:val="center"/>
          </w:tcPr>
          <w:p w14:paraId="3554B44E">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p>
        </w:tc>
        <w:tc>
          <w:tcPr>
            <w:tcW w:w="556" w:type="pct"/>
            <w:vMerge w:val="continue"/>
            <w:shd w:val="clear" w:color="auto" w:fill="auto"/>
            <w:vAlign w:val="center"/>
          </w:tcPr>
          <w:p w14:paraId="4B4348D8">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p>
        </w:tc>
        <w:tc>
          <w:tcPr>
            <w:tcW w:w="605" w:type="pct"/>
            <w:vMerge w:val="continue"/>
            <w:shd w:val="clear" w:color="auto" w:fill="auto"/>
            <w:vAlign w:val="center"/>
          </w:tcPr>
          <w:p w14:paraId="5EF1AE57">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p>
        </w:tc>
      </w:tr>
      <w:tr w14:paraId="35CC90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986" w:type="pct"/>
            <w:gridSpan w:val="3"/>
            <w:shd w:val="clear" w:color="auto" w:fill="auto"/>
            <w:vAlign w:val="center"/>
          </w:tcPr>
          <w:p w14:paraId="47A6BED7">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t</w:t>
            </w:r>
          </w:p>
        </w:tc>
        <w:tc>
          <w:tcPr>
            <w:tcW w:w="3014" w:type="pct"/>
            <w:gridSpan w:val="5"/>
            <w:shd w:val="clear" w:color="auto" w:fill="auto"/>
            <w:vAlign w:val="center"/>
          </w:tcPr>
          <w:p w14:paraId="6554819D">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mm</w:t>
            </w:r>
          </w:p>
        </w:tc>
      </w:tr>
      <w:tr w14:paraId="0C9F55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23500E2C">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5</w:t>
            </w:r>
          </w:p>
        </w:tc>
        <w:tc>
          <w:tcPr>
            <w:tcW w:w="662" w:type="pct"/>
            <w:shd w:val="clear" w:color="auto" w:fill="auto"/>
            <w:vAlign w:val="center"/>
          </w:tcPr>
          <w:p w14:paraId="7FA256F1">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8</w:t>
            </w:r>
          </w:p>
        </w:tc>
        <w:tc>
          <w:tcPr>
            <w:tcW w:w="662" w:type="pct"/>
            <w:shd w:val="clear" w:color="auto" w:fill="auto"/>
            <w:vAlign w:val="center"/>
          </w:tcPr>
          <w:p w14:paraId="1D86CEB6">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10</w:t>
            </w:r>
          </w:p>
        </w:tc>
        <w:tc>
          <w:tcPr>
            <w:tcW w:w="589" w:type="pct"/>
            <w:shd w:val="clear" w:color="auto" w:fill="auto"/>
            <w:vAlign w:val="center"/>
          </w:tcPr>
          <w:p w14:paraId="41683DFC">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31.5</w:t>
            </w:r>
          </w:p>
        </w:tc>
        <w:tc>
          <w:tcPr>
            <w:tcW w:w="589" w:type="pct"/>
            <w:shd w:val="clear" w:color="auto" w:fill="auto"/>
            <w:vAlign w:val="center"/>
          </w:tcPr>
          <w:p w14:paraId="522B7E82">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35.5</w:t>
            </w:r>
          </w:p>
        </w:tc>
        <w:tc>
          <w:tcPr>
            <w:tcW w:w="675" w:type="pct"/>
            <w:shd w:val="clear" w:color="auto" w:fill="auto"/>
            <w:vAlign w:val="center"/>
          </w:tcPr>
          <w:p w14:paraId="07DCE356">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78.1</w:t>
            </w:r>
          </w:p>
        </w:tc>
        <w:tc>
          <w:tcPr>
            <w:tcW w:w="556" w:type="pct"/>
            <w:shd w:val="clear" w:color="auto" w:fill="auto"/>
            <w:vAlign w:val="center"/>
          </w:tcPr>
          <w:p w14:paraId="18B7B6E4">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71</w:t>
            </w:r>
          </w:p>
        </w:tc>
        <w:tc>
          <w:tcPr>
            <w:tcW w:w="605" w:type="pct"/>
            <w:shd w:val="clear" w:color="auto" w:fill="auto"/>
            <w:vAlign w:val="center"/>
          </w:tcPr>
          <w:p w14:paraId="2D1C4DE2">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35.5</w:t>
            </w:r>
          </w:p>
        </w:tc>
      </w:tr>
      <w:tr w14:paraId="3CE749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32A46597">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6.3</w:t>
            </w:r>
          </w:p>
        </w:tc>
        <w:tc>
          <w:tcPr>
            <w:tcW w:w="662" w:type="pct"/>
            <w:shd w:val="clear" w:color="auto" w:fill="auto"/>
            <w:vAlign w:val="center"/>
          </w:tcPr>
          <w:p w14:paraId="0D45E162">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10</w:t>
            </w:r>
          </w:p>
        </w:tc>
        <w:tc>
          <w:tcPr>
            <w:tcW w:w="662" w:type="pct"/>
            <w:shd w:val="clear" w:color="auto" w:fill="auto"/>
            <w:vAlign w:val="center"/>
          </w:tcPr>
          <w:p w14:paraId="6364E543">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12.5</w:t>
            </w:r>
          </w:p>
        </w:tc>
        <w:tc>
          <w:tcPr>
            <w:tcW w:w="589" w:type="pct"/>
            <w:shd w:val="clear" w:color="auto" w:fill="auto"/>
            <w:vAlign w:val="center"/>
          </w:tcPr>
          <w:p w14:paraId="2A39E3ED">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35.5</w:t>
            </w:r>
          </w:p>
        </w:tc>
        <w:tc>
          <w:tcPr>
            <w:tcW w:w="589" w:type="pct"/>
            <w:shd w:val="clear" w:color="auto" w:fill="auto"/>
            <w:vAlign w:val="center"/>
          </w:tcPr>
          <w:p w14:paraId="054C2508">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40</w:t>
            </w:r>
          </w:p>
        </w:tc>
        <w:tc>
          <w:tcPr>
            <w:tcW w:w="675" w:type="pct"/>
            <w:shd w:val="clear" w:color="auto" w:fill="auto"/>
            <w:vAlign w:val="center"/>
          </w:tcPr>
          <w:p w14:paraId="471FD21F">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88</w:t>
            </w:r>
          </w:p>
        </w:tc>
        <w:tc>
          <w:tcPr>
            <w:tcW w:w="556" w:type="pct"/>
            <w:shd w:val="clear" w:color="auto" w:fill="auto"/>
            <w:vAlign w:val="center"/>
          </w:tcPr>
          <w:p w14:paraId="04A2A402">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80</w:t>
            </w:r>
          </w:p>
        </w:tc>
        <w:tc>
          <w:tcPr>
            <w:tcW w:w="605" w:type="pct"/>
            <w:shd w:val="clear" w:color="auto" w:fill="auto"/>
            <w:vAlign w:val="center"/>
          </w:tcPr>
          <w:p w14:paraId="61B0BCA8">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40</w:t>
            </w:r>
          </w:p>
        </w:tc>
      </w:tr>
      <w:tr w14:paraId="77DD84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0BFD78D3">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8</w:t>
            </w:r>
          </w:p>
        </w:tc>
        <w:tc>
          <w:tcPr>
            <w:tcW w:w="662" w:type="pct"/>
            <w:shd w:val="clear" w:color="auto" w:fill="auto"/>
            <w:vAlign w:val="center"/>
          </w:tcPr>
          <w:p w14:paraId="0889D732">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12.5</w:t>
            </w:r>
          </w:p>
        </w:tc>
        <w:tc>
          <w:tcPr>
            <w:tcW w:w="662" w:type="pct"/>
            <w:shd w:val="clear" w:color="auto" w:fill="auto"/>
            <w:vAlign w:val="center"/>
          </w:tcPr>
          <w:p w14:paraId="2A103E6F">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16</w:t>
            </w:r>
          </w:p>
        </w:tc>
        <w:tc>
          <w:tcPr>
            <w:tcW w:w="589" w:type="pct"/>
            <w:shd w:val="clear" w:color="auto" w:fill="auto"/>
            <w:vAlign w:val="center"/>
          </w:tcPr>
          <w:p w14:paraId="67C61739">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40</w:t>
            </w:r>
          </w:p>
        </w:tc>
        <w:tc>
          <w:tcPr>
            <w:tcW w:w="589" w:type="pct"/>
            <w:shd w:val="clear" w:color="auto" w:fill="auto"/>
            <w:vAlign w:val="center"/>
          </w:tcPr>
          <w:p w14:paraId="6777E4BB">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45</w:t>
            </w:r>
          </w:p>
        </w:tc>
        <w:tc>
          <w:tcPr>
            <w:tcW w:w="675" w:type="pct"/>
            <w:shd w:val="clear" w:color="auto" w:fill="auto"/>
            <w:vAlign w:val="center"/>
          </w:tcPr>
          <w:p w14:paraId="0C9829E9">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99</w:t>
            </w:r>
          </w:p>
        </w:tc>
        <w:tc>
          <w:tcPr>
            <w:tcW w:w="556" w:type="pct"/>
            <w:shd w:val="clear" w:color="auto" w:fill="auto"/>
            <w:vAlign w:val="center"/>
          </w:tcPr>
          <w:p w14:paraId="35344B95">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90</w:t>
            </w:r>
          </w:p>
        </w:tc>
        <w:tc>
          <w:tcPr>
            <w:tcW w:w="605" w:type="pct"/>
            <w:shd w:val="clear" w:color="auto" w:fill="auto"/>
            <w:vAlign w:val="center"/>
          </w:tcPr>
          <w:p w14:paraId="13448AB1">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45</w:t>
            </w:r>
          </w:p>
        </w:tc>
      </w:tr>
      <w:tr w14:paraId="53016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60FDB738">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10</w:t>
            </w:r>
          </w:p>
        </w:tc>
        <w:tc>
          <w:tcPr>
            <w:tcW w:w="662" w:type="pct"/>
            <w:shd w:val="clear" w:color="auto" w:fill="auto"/>
            <w:vAlign w:val="center"/>
          </w:tcPr>
          <w:p w14:paraId="52AA9373">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16</w:t>
            </w:r>
          </w:p>
        </w:tc>
        <w:tc>
          <w:tcPr>
            <w:tcW w:w="662" w:type="pct"/>
            <w:shd w:val="clear" w:color="auto" w:fill="auto"/>
            <w:vAlign w:val="center"/>
          </w:tcPr>
          <w:p w14:paraId="4E76B17B">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20</w:t>
            </w:r>
          </w:p>
        </w:tc>
        <w:tc>
          <w:tcPr>
            <w:tcW w:w="589" w:type="pct"/>
            <w:shd w:val="clear" w:color="auto" w:fill="auto"/>
            <w:vAlign w:val="center"/>
          </w:tcPr>
          <w:p w14:paraId="2061F102">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45</w:t>
            </w:r>
          </w:p>
        </w:tc>
        <w:tc>
          <w:tcPr>
            <w:tcW w:w="589" w:type="pct"/>
            <w:shd w:val="clear" w:color="auto" w:fill="auto"/>
            <w:vAlign w:val="center"/>
          </w:tcPr>
          <w:p w14:paraId="52B3E5CA">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50</w:t>
            </w:r>
          </w:p>
        </w:tc>
        <w:tc>
          <w:tcPr>
            <w:tcW w:w="675" w:type="pct"/>
            <w:shd w:val="clear" w:color="auto" w:fill="auto"/>
            <w:vAlign w:val="center"/>
          </w:tcPr>
          <w:p w14:paraId="67AF25E8">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110</w:t>
            </w:r>
          </w:p>
        </w:tc>
        <w:tc>
          <w:tcPr>
            <w:tcW w:w="556" w:type="pct"/>
            <w:shd w:val="clear" w:color="auto" w:fill="auto"/>
            <w:vAlign w:val="center"/>
          </w:tcPr>
          <w:p w14:paraId="4FD6B15C">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100</w:t>
            </w:r>
          </w:p>
        </w:tc>
        <w:tc>
          <w:tcPr>
            <w:tcW w:w="605" w:type="pct"/>
            <w:shd w:val="clear" w:color="auto" w:fill="auto"/>
            <w:vAlign w:val="center"/>
          </w:tcPr>
          <w:p w14:paraId="69CDF4F6">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50</w:t>
            </w:r>
          </w:p>
        </w:tc>
      </w:tr>
      <w:tr w14:paraId="127900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2E0C3A41">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12.5</w:t>
            </w:r>
          </w:p>
        </w:tc>
        <w:tc>
          <w:tcPr>
            <w:tcW w:w="662" w:type="pct"/>
            <w:shd w:val="clear" w:color="auto" w:fill="auto"/>
            <w:vAlign w:val="center"/>
          </w:tcPr>
          <w:p w14:paraId="75A94A9A">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20</w:t>
            </w:r>
          </w:p>
        </w:tc>
        <w:tc>
          <w:tcPr>
            <w:tcW w:w="662" w:type="pct"/>
            <w:shd w:val="clear" w:color="auto" w:fill="auto"/>
            <w:vAlign w:val="center"/>
          </w:tcPr>
          <w:p w14:paraId="0DA39F4A">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25</w:t>
            </w:r>
          </w:p>
        </w:tc>
        <w:tc>
          <w:tcPr>
            <w:tcW w:w="589" w:type="pct"/>
            <w:shd w:val="clear" w:color="auto" w:fill="auto"/>
            <w:vAlign w:val="center"/>
          </w:tcPr>
          <w:p w14:paraId="58BC56ED">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50</w:t>
            </w:r>
          </w:p>
        </w:tc>
        <w:tc>
          <w:tcPr>
            <w:tcW w:w="589" w:type="pct"/>
            <w:shd w:val="clear" w:color="auto" w:fill="auto"/>
            <w:vAlign w:val="center"/>
          </w:tcPr>
          <w:p w14:paraId="37B4BD7E">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56</w:t>
            </w:r>
          </w:p>
        </w:tc>
        <w:tc>
          <w:tcPr>
            <w:tcW w:w="675" w:type="pct"/>
            <w:shd w:val="clear" w:color="auto" w:fill="auto"/>
            <w:vAlign w:val="center"/>
          </w:tcPr>
          <w:p w14:paraId="772ACB04">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123.2</w:t>
            </w:r>
          </w:p>
        </w:tc>
        <w:tc>
          <w:tcPr>
            <w:tcW w:w="556" w:type="pct"/>
            <w:shd w:val="clear" w:color="auto" w:fill="auto"/>
            <w:vAlign w:val="center"/>
          </w:tcPr>
          <w:p w14:paraId="5FEF3BB5">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112</w:t>
            </w:r>
          </w:p>
        </w:tc>
        <w:tc>
          <w:tcPr>
            <w:tcW w:w="605" w:type="pct"/>
            <w:shd w:val="clear" w:color="auto" w:fill="auto"/>
            <w:vAlign w:val="center"/>
          </w:tcPr>
          <w:p w14:paraId="6EB29FB1">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56</w:t>
            </w:r>
          </w:p>
        </w:tc>
      </w:tr>
      <w:tr w14:paraId="6DFFE9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03E9E9FF">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16</w:t>
            </w:r>
          </w:p>
        </w:tc>
        <w:tc>
          <w:tcPr>
            <w:tcW w:w="662" w:type="pct"/>
            <w:shd w:val="clear" w:color="auto" w:fill="auto"/>
            <w:vAlign w:val="center"/>
          </w:tcPr>
          <w:p w14:paraId="0D5D3E7A">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25</w:t>
            </w:r>
          </w:p>
        </w:tc>
        <w:tc>
          <w:tcPr>
            <w:tcW w:w="662" w:type="pct"/>
            <w:shd w:val="clear" w:color="auto" w:fill="auto"/>
            <w:vAlign w:val="center"/>
          </w:tcPr>
          <w:p w14:paraId="4A46D486">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32</w:t>
            </w:r>
          </w:p>
        </w:tc>
        <w:tc>
          <w:tcPr>
            <w:tcW w:w="589" w:type="pct"/>
            <w:shd w:val="clear" w:color="auto" w:fill="auto"/>
            <w:vAlign w:val="center"/>
          </w:tcPr>
          <w:p w14:paraId="5C24FB68">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56</w:t>
            </w:r>
          </w:p>
        </w:tc>
        <w:tc>
          <w:tcPr>
            <w:tcW w:w="589" w:type="pct"/>
            <w:shd w:val="clear" w:color="auto" w:fill="auto"/>
            <w:vAlign w:val="center"/>
          </w:tcPr>
          <w:p w14:paraId="6DD6C706">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63</w:t>
            </w:r>
          </w:p>
        </w:tc>
        <w:tc>
          <w:tcPr>
            <w:tcW w:w="675" w:type="pct"/>
            <w:shd w:val="clear" w:color="auto" w:fill="auto"/>
            <w:vAlign w:val="center"/>
          </w:tcPr>
          <w:p w14:paraId="45CE46FF">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138.6</w:t>
            </w:r>
          </w:p>
        </w:tc>
        <w:tc>
          <w:tcPr>
            <w:tcW w:w="556" w:type="pct"/>
            <w:shd w:val="clear" w:color="auto" w:fill="auto"/>
            <w:vAlign w:val="center"/>
          </w:tcPr>
          <w:p w14:paraId="5B0267F9">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125</w:t>
            </w:r>
          </w:p>
        </w:tc>
        <w:tc>
          <w:tcPr>
            <w:tcW w:w="605" w:type="pct"/>
            <w:shd w:val="clear" w:color="auto" w:fill="auto"/>
            <w:vAlign w:val="center"/>
          </w:tcPr>
          <w:p w14:paraId="0086A314">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63</w:t>
            </w:r>
          </w:p>
        </w:tc>
      </w:tr>
      <w:tr w14:paraId="19B2BA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033B31EB">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20</w:t>
            </w:r>
          </w:p>
        </w:tc>
        <w:tc>
          <w:tcPr>
            <w:tcW w:w="662" w:type="pct"/>
            <w:shd w:val="clear" w:color="auto" w:fill="auto"/>
            <w:vAlign w:val="center"/>
          </w:tcPr>
          <w:p w14:paraId="63E88EC1">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32</w:t>
            </w:r>
          </w:p>
        </w:tc>
        <w:tc>
          <w:tcPr>
            <w:tcW w:w="662" w:type="pct"/>
            <w:shd w:val="clear" w:color="auto" w:fill="auto"/>
            <w:vAlign w:val="center"/>
          </w:tcPr>
          <w:p w14:paraId="65AA4827">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40</w:t>
            </w:r>
          </w:p>
        </w:tc>
        <w:tc>
          <w:tcPr>
            <w:tcW w:w="589" w:type="pct"/>
            <w:shd w:val="clear" w:color="auto" w:fill="auto"/>
            <w:vAlign w:val="center"/>
          </w:tcPr>
          <w:p w14:paraId="7AA268DF">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63</w:t>
            </w:r>
          </w:p>
        </w:tc>
        <w:tc>
          <w:tcPr>
            <w:tcW w:w="589" w:type="pct"/>
            <w:shd w:val="clear" w:color="auto" w:fill="auto"/>
            <w:vAlign w:val="center"/>
          </w:tcPr>
          <w:p w14:paraId="75B92B4F">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71</w:t>
            </w:r>
          </w:p>
        </w:tc>
        <w:tc>
          <w:tcPr>
            <w:tcW w:w="675" w:type="pct"/>
            <w:shd w:val="clear" w:color="auto" w:fill="auto"/>
            <w:vAlign w:val="center"/>
          </w:tcPr>
          <w:p w14:paraId="4803EC62">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156.2</w:t>
            </w:r>
          </w:p>
        </w:tc>
        <w:tc>
          <w:tcPr>
            <w:tcW w:w="556" w:type="pct"/>
            <w:shd w:val="clear" w:color="auto" w:fill="auto"/>
            <w:vAlign w:val="center"/>
          </w:tcPr>
          <w:p w14:paraId="323E7A0B">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140</w:t>
            </w:r>
          </w:p>
        </w:tc>
        <w:tc>
          <w:tcPr>
            <w:tcW w:w="605" w:type="pct"/>
            <w:shd w:val="clear" w:color="auto" w:fill="auto"/>
            <w:vAlign w:val="center"/>
          </w:tcPr>
          <w:p w14:paraId="05BB82D4">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71</w:t>
            </w:r>
          </w:p>
        </w:tc>
      </w:tr>
      <w:tr w14:paraId="2BB8AA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16E4A1B3">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25</w:t>
            </w:r>
          </w:p>
        </w:tc>
        <w:tc>
          <w:tcPr>
            <w:tcW w:w="662" w:type="pct"/>
            <w:shd w:val="clear" w:color="auto" w:fill="auto"/>
            <w:vAlign w:val="center"/>
          </w:tcPr>
          <w:p w14:paraId="6426C227">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40</w:t>
            </w:r>
          </w:p>
        </w:tc>
        <w:tc>
          <w:tcPr>
            <w:tcW w:w="662" w:type="pct"/>
            <w:shd w:val="clear" w:color="auto" w:fill="auto"/>
            <w:vAlign w:val="center"/>
          </w:tcPr>
          <w:p w14:paraId="6D76C9AB">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50</w:t>
            </w:r>
          </w:p>
        </w:tc>
        <w:tc>
          <w:tcPr>
            <w:tcW w:w="589" w:type="pct"/>
            <w:shd w:val="clear" w:color="auto" w:fill="auto"/>
            <w:vAlign w:val="center"/>
          </w:tcPr>
          <w:p w14:paraId="1F445DC4">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71</w:t>
            </w:r>
          </w:p>
        </w:tc>
        <w:tc>
          <w:tcPr>
            <w:tcW w:w="589" w:type="pct"/>
            <w:shd w:val="clear" w:color="auto" w:fill="auto"/>
            <w:vAlign w:val="center"/>
          </w:tcPr>
          <w:p w14:paraId="5A042120">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80</w:t>
            </w:r>
          </w:p>
        </w:tc>
        <w:tc>
          <w:tcPr>
            <w:tcW w:w="675" w:type="pct"/>
            <w:shd w:val="clear" w:color="auto" w:fill="auto"/>
            <w:vAlign w:val="center"/>
          </w:tcPr>
          <w:p w14:paraId="30C13894">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178</w:t>
            </w:r>
          </w:p>
        </w:tc>
        <w:tc>
          <w:tcPr>
            <w:tcW w:w="556" w:type="pct"/>
            <w:shd w:val="clear" w:color="auto" w:fill="auto"/>
            <w:vAlign w:val="center"/>
          </w:tcPr>
          <w:p w14:paraId="4F3D9C90">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160</w:t>
            </w:r>
          </w:p>
        </w:tc>
        <w:tc>
          <w:tcPr>
            <w:tcW w:w="605" w:type="pct"/>
            <w:shd w:val="clear" w:color="auto" w:fill="auto"/>
            <w:vAlign w:val="center"/>
          </w:tcPr>
          <w:p w14:paraId="18D34DD8">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80</w:t>
            </w:r>
          </w:p>
        </w:tc>
      </w:tr>
      <w:tr w14:paraId="4B822D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53A069D7">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32</w:t>
            </w:r>
          </w:p>
        </w:tc>
        <w:tc>
          <w:tcPr>
            <w:tcW w:w="662" w:type="pct"/>
            <w:shd w:val="clear" w:color="auto" w:fill="auto"/>
            <w:vAlign w:val="center"/>
          </w:tcPr>
          <w:p w14:paraId="22492699">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50</w:t>
            </w:r>
          </w:p>
        </w:tc>
        <w:tc>
          <w:tcPr>
            <w:tcW w:w="662" w:type="pct"/>
            <w:shd w:val="clear" w:color="auto" w:fill="auto"/>
            <w:vAlign w:val="center"/>
          </w:tcPr>
          <w:p w14:paraId="28766BA6">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63</w:t>
            </w:r>
          </w:p>
        </w:tc>
        <w:tc>
          <w:tcPr>
            <w:tcW w:w="589" w:type="pct"/>
            <w:shd w:val="clear" w:color="auto" w:fill="auto"/>
            <w:vAlign w:val="center"/>
          </w:tcPr>
          <w:p w14:paraId="70B87022">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80</w:t>
            </w:r>
          </w:p>
        </w:tc>
        <w:tc>
          <w:tcPr>
            <w:tcW w:w="589" w:type="pct"/>
            <w:shd w:val="clear" w:color="auto" w:fill="auto"/>
            <w:vAlign w:val="center"/>
          </w:tcPr>
          <w:p w14:paraId="65FF2FCB">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90</w:t>
            </w:r>
          </w:p>
        </w:tc>
        <w:tc>
          <w:tcPr>
            <w:tcW w:w="675" w:type="pct"/>
            <w:shd w:val="clear" w:color="auto" w:fill="auto"/>
            <w:vAlign w:val="center"/>
          </w:tcPr>
          <w:p w14:paraId="65C06E0F">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198</w:t>
            </w:r>
          </w:p>
        </w:tc>
        <w:tc>
          <w:tcPr>
            <w:tcW w:w="556" w:type="pct"/>
            <w:shd w:val="clear" w:color="auto" w:fill="auto"/>
            <w:vAlign w:val="center"/>
          </w:tcPr>
          <w:p w14:paraId="2039D968">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180</w:t>
            </w:r>
          </w:p>
        </w:tc>
        <w:tc>
          <w:tcPr>
            <w:tcW w:w="605" w:type="pct"/>
            <w:shd w:val="clear" w:color="auto" w:fill="auto"/>
            <w:vAlign w:val="center"/>
          </w:tcPr>
          <w:p w14:paraId="0DF58290">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90</w:t>
            </w:r>
          </w:p>
        </w:tc>
      </w:tr>
      <w:tr w14:paraId="19A90A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1E40EDEE">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40</w:t>
            </w:r>
          </w:p>
        </w:tc>
        <w:tc>
          <w:tcPr>
            <w:tcW w:w="662" w:type="pct"/>
            <w:shd w:val="clear" w:color="auto" w:fill="auto"/>
            <w:vAlign w:val="center"/>
          </w:tcPr>
          <w:p w14:paraId="6ECD4CB2">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63</w:t>
            </w:r>
          </w:p>
        </w:tc>
        <w:tc>
          <w:tcPr>
            <w:tcW w:w="662" w:type="pct"/>
            <w:shd w:val="clear" w:color="auto" w:fill="auto"/>
            <w:vAlign w:val="center"/>
          </w:tcPr>
          <w:p w14:paraId="148741EB">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80</w:t>
            </w:r>
          </w:p>
        </w:tc>
        <w:tc>
          <w:tcPr>
            <w:tcW w:w="589" w:type="pct"/>
            <w:shd w:val="clear" w:color="auto" w:fill="auto"/>
            <w:vAlign w:val="center"/>
          </w:tcPr>
          <w:p w14:paraId="23E4E8FB">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90</w:t>
            </w:r>
          </w:p>
        </w:tc>
        <w:tc>
          <w:tcPr>
            <w:tcW w:w="589" w:type="pct"/>
            <w:shd w:val="clear" w:color="auto" w:fill="auto"/>
            <w:vAlign w:val="center"/>
          </w:tcPr>
          <w:p w14:paraId="50155EFF">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100</w:t>
            </w:r>
          </w:p>
        </w:tc>
        <w:tc>
          <w:tcPr>
            <w:tcW w:w="675" w:type="pct"/>
            <w:shd w:val="clear" w:color="auto" w:fill="auto"/>
            <w:vAlign w:val="center"/>
          </w:tcPr>
          <w:p w14:paraId="135041CD">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220</w:t>
            </w:r>
          </w:p>
        </w:tc>
        <w:tc>
          <w:tcPr>
            <w:tcW w:w="556" w:type="pct"/>
            <w:shd w:val="clear" w:color="auto" w:fill="auto"/>
            <w:vAlign w:val="center"/>
          </w:tcPr>
          <w:p w14:paraId="1FAF3A12">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200</w:t>
            </w:r>
          </w:p>
        </w:tc>
        <w:tc>
          <w:tcPr>
            <w:tcW w:w="605" w:type="pct"/>
            <w:shd w:val="clear" w:color="auto" w:fill="auto"/>
            <w:vAlign w:val="center"/>
          </w:tcPr>
          <w:p w14:paraId="686CE237">
            <w:pPr>
              <w:widowControl w:val="0"/>
              <w:spacing w:line="240" w:lineRule="auto"/>
              <w:ind w:firstLine="0" w:firstLineChars="0"/>
              <w:jc w:val="center"/>
              <w:rPr>
                <w:rFonts w:ascii="Times New Roman" w:hAnsi="Times New Roman" w:eastAsia="仿宋" w:cs="Times New Roman"/>
                <w:color w:val="000000"/>
                <w:kern w:val="0"/>
                <w:sz w:val="21"/>
                <w:szCs w:val="21"/>
                <w:lang w:val="en-US" w:eastAsia="zh-CN" w:bidi="ar-SA"/>
              </w:rPr>
            </w:pPr>
            <w:r>
              <w:rPr>
                <w:rFonts w:ascii="Times New Roman" w:hAnsi="Times New Roman" w:eastAsia="仿宋" w:cs="Times New Roman"/>
                <w:color w:val="000000"/>
                <w:kern w:val="0"/>
                <w:sz w:val="21"/>
                <w:szCs w:val="21"/>
                <w:lang w:val="en-US" w:eastAsia="zh-CN" w:bidi="ar-SA"/>
              </w:rPr>
              <w:t>100</w:t>
            </w:r>
          </w:p>
        </w:tc>
      </w:tr>
    </w:tbl>
    <w:p w14:paraId="5D757DFD">
      <w:pPr>
        <w:widowControl w:val="0"/>
        <w:rPr>
          <w:rFonts w:hint="eastAsia"/>
          <w:bCs/>
          <w:color w:val="000000"/>
        </w:rPr>
      </w:pPr>
      <w:r>
        <w:rPr>
          <w:rFonts w:hint="eastAsia"/>
          <w:bCs/>
          <w:color w:val="000000"/>
        </w:rPr>
        <w:t>四点吊的塔吊主要部件</w:t>
      </w:r>
      <w:r>
        <w:rPr>
          <w:rFonts w:hint="eastAsia"/>
          <w:bCs/>
          <w:color w:val="000000"/>
          <w:lang w:val="en-US" w:eastAsia="zh-CN"/>
        </w:rPr>
        <w:t>为回转总成</w:t>
      </w:r>
      <w:r>
        <w:rPr>
          <w:rFonts w:hint="eastAsia"/>
          <w:bCs/>
          <w:color w:val="000000"/>
          <w:lang w:eastAsia="zh-CN"/>
        </w:rPr>
        <w:t>，</w:t>
      </w:r>
      <w:r>
        <w:rPr>
          <w:rFonts w:hint="eastAsia"/>
          <w:bCs/>
          <w:color w:val="000000"/>
          <w:lang w:val="en-US" w:eastAsia="zh-CN"/>
        </w:rPr>
        <w:t>回转总成</w:t>
      </w:r>
      <w:r>
        <w:rPr>
          <w:rFonts w:hint="eastAsia"/>
          <w:bCs/>
          <w:color w:val="000000"/>
        </w:rPr>
        <w:t>最大重量约</w:t>
      </w:r>
      <w:r>
        <w:rPr>
          <w:rFonts w:hint="eastAsia"/>
          <w:bCs/>
          <w:color w:val="000000"/>
          <w:lang w:val="en-US" w:eastAsia="zh-CN"/>
        </w:rPr>
        <w:t>17.08</w:t>
      </w:r>
      <w:r>
        <w:rPr>
          <w:rFonts w:hint="eastAsia"/>
          <w:bCs/>
          <w:color w:val="000000"/>
        </w:rPr>
        <w:t>t，钢丝绳连接卸扣工作荷载：</w:t>
      </w:r>
    </w:p>
    <w:p w14:paraId="20FF5462">
      <w:pPr>
        <w:widowControl w:val="0"/>
        <w:spacing w:line="240" w:lineRule="auto"/>
        <w:rPr>
          <w:rFonts w:hint="eastAsia"/>
          <w:bCs/>
          <w:color w:val="000000"/>
        </w:rPr>
      </w:pPr>
      <m:oMath>
        <m:r>
          <m:rPr>
            <m:nor/>
            <m:sty m:val="p"/>
          </m:rPr>
          <w:rPr>
            <w:rFonts w:hint="eastAsia" w:ascii="Times New Roman" w:hAnsi="Times New Roman"/>
            <w:b w:val="0"/>
            <w:bCs/>
            <w:i w:val="0"/>
            <w:color w:val="000000"/>
          </w:rPr>
          <m:t>WL</m:t>
        </m:r>
        <m:sSub>
          <m:sSubPr>
            <m:ctrlPr>
              <w:rPr>
                <w:rFonts w:hint="default" w:ascii="Cambria Math" w:hAnsi="Cambria Math"/>
                <w:bCs/>
                <w:color w:val="000000"/>
              </w:rPr>
            </m:ctrlPr>
          </m:sSubPr>
          <m:e>
            <m:r>
              <m:rPr>
                <m:nor/>
                <m:sty m:val="p"/>
              </m:rPr>
              <w:rPr>
                <w:rFonts w:hint="eastAsia" w:ascii="Times New Roman" w:hAnsi="Times New Roman"/>
                <w:b w:val="0"/>
                <w:bCs/>
                <w:i w:val="0"/>
                <w:color w:val="000000"/>
              </w:rPr>
              <m:t>L</m:t>
            </m:r>
            <m:ctrlPr>
              <w:rPr>
                <w:rFonts w:hint="default" w:ascii="Cambria Math" w:hAnsi="Cambria Math"/>
                <w:bCs/>
                <w:color w:val="000000"/>
              </w:rPr>
            </m:ctrlPr>
          </m:e>
          <m:sub>
            <m:r>
              <m:rPr>
                <m:nor/>
                <m:sty m:val="p"/>
              </m:rPr>
              <w:rPr>
                <w:rFonts w:hint="eastAsia" w:ascii="Times New Roman" w:hAnsi="Times New Roman"/>
                <w:b w:val="0"/>
                <w:bCs/>
                <w:i w:val="0"/>
                <w:color w:val="000000"/>
              </w:rPr>
              <m:t>0</m:t>
            </m:r>
            <m:ctrlPr>
              <w:rPr>
                <w:rFonts w:hint="default" w:ascii="Cambria Math" w:hAnsi="Cambria Math"/>
                <w:bCs/>
                <w:color w:val="000000"/>
              </w:rPr>
            </m:ctrlPr>
          </m:sub>
        </m:sSub>
        <m:r>
          <m:rPr>
            <m:nor/>
            <m:sty m:val="p"/>
          </m:rPr>
          <w:rPr>
            <w:rFonts w:hint="eastAsia" w:ascii="Times New Roman" w:hAnsi="Times New Roman"/>
            <w:b w:val="0"/>
            <w:bCs/>
            <w:i w:val="0"/>
            <w:color w:val="000000"/>
          </w:rPr>
          <m:t>=</m:t>
        </m:r>
        <m:f>
          <m:fPr>
            <m:ctrlPr>
              <w:rPr>
                <w:rFonts w:hint="default" w:ascii="Cambria Math" w:hAnsi="Cambria Math"/>
                <w:bCs/>
                <w:color w:val="000000"/>
              </w:rPr>
            </m:ctrlPr>
          </m:fPr>
          <m:num>
            <m:r>
              <m:rPr>
                <m:sty m:val="p"/>
              </m:rPr>
              <w:rPr>
                <w:rFonts w:hint="default" w:ascii="Cambria Math" w:hAnsi="Cambria Math"/>
                <w:color w:val="000000"/>
                <w:lang w:val="en-US" w:eastAsia="zh-CN"/>
              </w:rPr>
              <m:t>584.82</m:t>
            </m:r>
            <m:ctrlPr>
              <w:rPr>
                <w:rFonts w:hint="default" w:ascii="Cambria Math" w:hAnsi="Cambria Math"/>
                <w:bCs/>
                <w:color w:val="000000"/>
              </w:rPr>
            </m:ctrlPr>
          </m:num>
          <m:den>
            <m:r>
              <m:rPr>
                <m:nor/>
                <m:sty m:val="p"/>
              </m:rPr>
              <w:rPr>
                <w:rFonts w:hint="eastAsia" w:ascii="Times New Roman" w:hAnsi="Times New Roman"/>
                <w:b w:val="0"/>
                <w:bCs/>
                <w:i w:val="0"/>
                <w:color w:val="000000"/>
              </w:rPr>
              <m:t>6</m:t>
            </m:r>
            <m:ctrlPr>
              <w:rPr>
                <w:rFonts w:hint="default" w:ascii="Cambria Math" w:hAnsi="Cambria Math"/>
                <w:bCs/>
                <w:color w:val="000000"/>
              </w:rPr>
            </m:ctrlPr>
          </m:den>
        </m:f>
        <m:r>
          <m:rPr>
            <m:nor/>
            <m:sty m:val="p"/>
          </m:rPr>
          <w:rPr>
            <w:rFonts w:hint="eastAsia" w:ascii="Times New Roman" w:hAnsi="Times New Roman"/>
            <w:b w:val="0"/>
            <w:bCs/>
            <w:i w:val="0"/>
            <w:color w:val="000000"/>
          </w:rPr>
          <m:t>=</m:t>
        </m:r>
        <m:r>
          <m:rPr>
            <m:nor/>
            <m:sty m:val="p"/>
          </m:rPr>
          <w:rPr>
            <w:rFonts w:hint="default" w:ascii="Times New Roman" w:hAnsi="Times New Roman"/>
            <w:b w:val="0"/>
            <w:bCs/>
            <w:i w:val="0"/>
            <w:color w:val="000000"/>
            <w:lang w:val="en-US" w:eastAsia="zh-CN"/>
          </w:rPr>
          <m:t>97.49</m:t>
        </m:r>
        <m:r>
          <m:rPr>
            <m:nor/>
            <m:sty m:val="p"/>
          </m:rPr>
          <w:rPr>
            <w:rFonts w:hint="eastAsia" w:ascii="Times New Roman" w:hAnsi="Times New Roman"/>
            <w:b w:val="0"/>
            <w:bCs/>
            <w:i w:val="0"/>
            <w:color w:val="000000"/>
          </w:rPr>
          <m:t>kN</m:t>
        </m:r>
      </m:oMath>
      <w:r>
        <w:rPr>
          <w:rFonts w:hint="eastAsia"/>
          <w:bCs/>
          <w:color w:val="000000"/>
        </w:rPr>
        <w:t>，选用卸扣GB/T25854-6-DW</w:t>
      </w:r>
      <w:r>
        <w:rPr>
          <w:rFonts w:hint="eastAsia"/>
          <w:bCs/>
          <w:color w:val="000000"/>
          <w:lang w:val="en-US" w:eastAsia="zh-CN"/>
        </w:rPr>
        <w:t>10</w:t>
      </w:r>
      <w:r>
        <w:rPr>
          <w:rFonts w:hint="eastAsia"/>
          <w:bCs/>
          <w:color w:val="000000"/>
        </w:rPr>
        <w:t>。</w:t>
      </w:r>
    </w:p>
    <w:p w14:paraId="43DC5D76">
      <w:pPr>
        <w:widowControl w:val="0"/>
        <w:rPr>
          <w:rFonts w:hint="eastAsia"/>
          <w:bCs/>
          <w:color w:val="000000"/>
        </w:rPr>
      </w:pPr>
      <w:r>
        <w:rPr>
          <w:rFonts w:hint="eastAsia"/>
          <w:bCs/>
          <w:color w:val="000000"/>
          <w:lang w:val="en-US" w:eastAsia="zh-CN"/>
        </w:rPr>
        <w:t>两</w:t>
      </w:r>
      <w:r>
        <w:rPr>
          <w:rFonts w:hint="eastAsia"/>
          <w:bCs/>
          <w:color w:val="000000"/>
        </w:rPr>
        <w:t>点吊的塔吊主要部件</w:t>
      </w:r>
      <w:r>
        <w:rPr>
          <w:rFonts w:hint="eastAsia"/>
          <w:bCs/>
          <w:color w:val="000000"/>
          <w:lang w:val="en-US" w:eastAsia="zh-CN"/>
        </w:rPr>
        <w:t>为平衡重A</w:t>
      </w:r>
      <w:r>
        <w:rPr>
          <w:rFonts w:hint="eastAsia"/>
          <w:bCs/>
          <w:color w:val="000000"/>
          <w:lang w:eastAsia="zh-CN"/>
        </w:rPr>
        <w:t>，</w:t>
      </w:r>
      <w:r>
        <w:rPr>
          <w:rFonts w:hint="eastAsia"/>
          <w:bCs/>
          <w:color w:val="000000"/>
          <w:lang w:val="en-US" w:eastAsia="zh-CN"/>
        </w:rPr>
        <w:t>平衡重A</w:t>
      </w:r>
      <w:r>
        <w:rPr>
          <w:rFonts w:hint="eastAsia"/>
          <w:bCs/>
          <w:color w:val="000000"/>
        </w:rPr>
        <w:t>最大重量约</w:t>
      </w:r>
      <w:r>
        <w:rPr>
          <w:rFonts w:hint="eastAsia"/>
          <w:bCs/>
          <w:color w:val="000000"/>
          <w:lang w:val="en-US" w:eastAsia="zh-CN"/>
        </w:rPr>
        <w:t>5.5</w:t>
      </w:r>
      <w:r>
        <w:rPr>
          <w:rFonts w:hint="eastAsia"/>
          <w:bCs/>
          <w:color w:val="000000"/>
        </w:rPr>
        <w:t>t，钢丝绳连接卸扣工作荷载：</w:t>
      </w:r>
    </w:p>
    <w:p w14:paraId="6A9BD064">
      <w:pPr>
        <w:widowControl w:val="0"/>
        <w:spacing w:line="240" w:lineRule="auto"/>
        <w:rPr>
          <w:rFonts w:hint="eastAsia"/>
          <w:bCs/>
          <w:color w:val="000000"/>
        </w:rPr>
      </w:pPr>
      <m:oMath>
        <m:r>
          <m:rPr>
            <m:nor/>
            <m:sty m:val="p"/>
          </m:rPr>
          <w:rPr>
            <w:rFonts w:hint="default" w:ascii="Times New Roman" w:hAnsi="Times New Roman"/>
            <w:b w:val="0"/>
            <w:bCs/>
            <w:i w:val="0"/>
            <w:color w:val="000000"/>
          </w:rPr>
          <m:t>WL</m:t>
        </m:r>
        <m:sSub>
          <m:sSubPr>
            <m:ctrlPr>
              <w:rPr>
                <w:rFonts w:hint="default" w:ascii="Cambria Math" w:hAnsi="Cambria Math"/>
                <w:bCs/>
                <w:color w:val="000000"/>
              </w:rPr>
            </m:ctrlPr>
          </m:sSubPr>
          <m:e>
            <m:r>
              <m:rPr>
                <m:nor/>
                <m:sty m:val="p"/>
              </m:rPr>
              <w:rPr>
                <w:rFonts w:hint="default" w:ascii="Times New Roman" w:hAnsi="Times New Roman"/>
                <w:b w:val="0"/>
                <w:bCs/>
                <w:i w:val="0"/>
                <w:color w:val="000000"/>
              </w:rPr>
              <m:t>L</m:t>
            </m:r>
            <m:ctrlPr>
              <w:rPr>
                <w:rFonts w:hint="default" w:ascii="Cambria Math" w:hAnsi="Cambria Math"/>
                <w:bCs/>
                <w:color w:val="000000"/>
              </w:rPr>
            </m:ctrlPr>
          </m:e>
          <m:sub>
            <m:r>
              <m:rPr>
                <m:nor/>
                <m:sty m:val="p"/>
              </m:rPr>
              <w:rPr>
                <w:rFonts w:hint="default" w:ascii="Times New Roman" w:hAnsi="Times New Roman"/>
                <w:b w:val="0"/>
                <w:bCs/>
                <w:i w:val="0"/>
                <w:color w:val="000000"/>
              </w:rPr>
              <m:t>0</m:t>
            </m:r>
            <m:ctrlPr>
              <w:rPr>
                <w:rFonts w:hint="default" w:ascii="Cambria Math" w:hAnsi="Cambria Math"/>
                <w:bCs/>
                <w:color w:val="000000"/>
              </w:rPr>
            </m:ctrlPr>
          </m:sub>
        </m:sSub>
        <m:r>
          <m:rPr>
            <m:nor/>
            <m:sty m:val="p"/>
          </m:rPr>
          <w:rPr>
            <w:rFonts w:hint="default" w:ascii="Times New Roman" w:hAnsi="Times New Roman"/>
            <w:b w:val="0"/>
            <w:bCs/>
            <w:i w:val="0"/>
            <w:color w:val="000000"/>
          </w:rPr>
          <m:t>=</m:t>
        </m:r>
        <m:f>
          <m:fPr>
            <m:ctrlPr>
              <w:rPr>
                <w:rFonts w:hint="default" w:ascii="Cambria Math" w:hAnsi="Cambria Math"/>
                <w:bCs/>
                <w:color w:val="000000"/>
              </w:rPr>
            </m:ctrlPr>
          </m:fPr>
          <m:num>
            <m:r>
              <m:rPr>
                <m:sty m:val="p"/>
              </m:rPr>
              <w:rPr>
                <w:rFonts w:hint="default" w:ascii="Cambria Math" w:hAnsi="Cambria Math"/>
                <w:color w:val="000000"/>
                <w:lang w:val="en-US" w:eastAsia="zh-CN"/>
              </w:rPr>
              <m:t>282.53</m:t>
            </m:r>
            <m:ctrlPr>
              <w:rPr>
                <w:rFonts w:hint="default" w:ascii="Cambria Math" w:hAnsi="Cambria Math"/>
                <w:bCs/>
                <w:color w:val="000000"/>
              </w:rPr>
            </m:ctrlPr>
          </m:num>
          <m:den>
            <m:r>
              <m:rPr>
                <m:nor/>
                <m:sty m:val="p"/>
              </m:rPr>
              <w:rPr>
                <w:rFonts w:hint="default" w:ascii="Times New Roman" w:hAnsi="Times New Roman"/>
                <w:b w:val="0"/>
                <w:bCs/>
                <w:i w:val="0"/>
                <w:color w:val="000000"/>
              </w:rPr>
              <m:t>6</m:t>
            </m:r>
            <m:ctrlPr>
              <w:rPr>
                <w:rFonts w:hint="default" w:ascii="Cambria Math" w:hAnsi="Cambria Math"/>
                <w:bCs/>
                <w:color w:val="000000"/>
              </w:rPr>
            </m:ctrlPr>
          </m:den>
        </m:f>
        <m:r>
          <m:rPr>
            <m:nor/>
            <m:sty m:val="p"/>
          </m:rPr>
          <w:rPr>
            <w:rFonts w:hint="default" w:ascii="Times New Roman" w:hAnsi="Times New Roman"/>
            <w:b w:val="0"/>
            <w:bCs/>
            <w:i w:val="0"/>
            <w:color w:val="000000"/>
          </w:rPr>
          <m:t>=</m:t>
        </m:r>
        <m:r>
          <m:rPr>
            <m:nor/>
            <m:sty m:val="p"/>
          </m:rPr>
          <w:rPr>
            <w:rFonts w:hint="default" w:ascii="Times New Roman" w:hAnsi="Times New Roman"/>
            <w:b w:val="0"/>
            <w:bCs/>
            <w:i w:val="0"/>
            <w:color w:val="000000"/>
            <w:lang w:val="en-US" w:eastAsia="zh-CN"/>
          </w:rPr>
          <m:t>47.09</m:t>
        </m:r>
        <m:r>
          <m:rPr>
            <m:nor/>
            <m:sty m:val="p"/>
          </m:rPr>
          <w:rPr>
            <w:rFonts w:hint="default" w:ascii="Times New Roman" w:hAnsi="Times New Roman"/>
            <w:b w:val="0"/>
            <w:bCs/>
            <w:i w:val="0"/>
            <w:color w:val="000000"/>
          </w:rPr>
          <m:t>kN</m:t>
        </m:r>
      </m:oMath>
      <w:r>
        <w:rPr>
          <w:rFonts w:hint="eastAsia"/>
          <w:bCs/>
          <w:color w:val="000000"/>
        </w:rPr>
        <w:t>，选用卸扣GB/T25854-6-DW</w:t>
      </w:r>
      <w:r>
        <w:rPr>
          <w:rFonts w:hint="eastAsia"/>
          <w:bCs/>
          <w:color w:val="000000"/>
          <w:lang w:val="en-US" w:eastAsia="zh-CN"/>
        </w:rPr>
        <w:t>5</w:t>
      </w:r>
      <w:r>
        <w:rPr>
          <w:rFonts w:hint="eastAsia"/>
          <w:bCs/>
          <w:color w:val="000000"/>
        </w:rPr>
        <w:t>。</w:t>
      </w:r>
    </w:p>
    <w:p w14:paraId="2AA2998B">
      <w:r>
        <w:rPr>
          <w:color w:val="auto"/>
        </w:rPr>
        <w:t>根据塔吊基础设计参数及塔吊主要部件重量及吊</w:t>
      </w:r>
      <w:r>
        <w:rPr>
          <w:rFonts w:hint="eastAsia"/>
          <w:color w:val="auto"/>
        </w:rPr>
        <w:t>装</w:t>
      </w:r>
      <w:r>
        <w:rPr>
          <w:color w:val="auto"/>
        </w:rPr>
        <w:t>高度，确定</w:t>
      </w:r>
      <w:r>
        <w:rPr>
          <w:rFonts w:hint="eastAsia"/>
          <w:color w:val="auto"/>
          <w:lang w:val="en-US" w:eastAsia="zh-CN"/>
        </w:rPr>
        <w:t>拆除</w:t>
      </w:r>
      <w:r>
        <w:rPr>
          <w:color w:val="auto"/>
        </w:rPr>
        <w:t>过程中所需的最大吊重、最大钢丝绳夹角，结合施工现场实际情况，确定起重钢丝绳型号。钢丝绳及卸扣选型见下表。</w:t>
      </w:r>
    </w:p>
    <w:p w14:paraId="4FA02C51">
      <w:pPr>
        <w:pStyle w:val="12"/>
      </w:pPr>
      <w:r>
        <w:t xml:space="preserve">表 </w:t>
      </w:r>
      <w:r>
        <w:fldChar w:fldCharType="begin"/>
      </w:r>
      <w:r>
        <w:instrText xml:space="preserve"> STYLEREF 2 \s </w:instrText>
      </w:r>
      <w:r>
        <w:fldChar w:fldCharType="separate"/>
      </w:r>
      <w:r>
        <w:t>5.1</w:t>
      </w:r>
      <w:r>
        <w:fldChar w:fldCharType="end"/>
      </w:r>
      <w:r>
        <w:rPr>
          <w:rFonts w:hint="eastAsia"/>
          <w:lang w:eastAsia="zh-CN"/>
        </w:rPr>
        <w:t>-</w:t>
      </w:r>
      <w:r>
        <w:fldChar w:fldCharType="begin"/>
      </w:r>
      <w:r>
        <w:instrText xml:space="preserve"> SEQ 表 \* ARABIC \s 2 </w:instrText>
      </w:r>
      <w:r>
        <w:fldChar w:fldCharType="separate"/>
      </w:r>
      <w:r>
        <w:t>3</w:t>
      </w:r>
      <w:r>
        <w:fldChar w:fldCharType="end"/>
      </w:r>
      <w:r>
        <w:rPr>
          <w:rFonts w:hint="eastAsia"/>
          <w:lang w:val="en-US" w:eastAsia="zh-CN"/>
        </w:rPr>
        <w:t xml:space="preserve"> </w:t>
      </w:r>
      <w:r>
        <w:t>钢丝绳选型表</w:t>
      </w:r>
    </w:p>
    <w:tbl>
      <w:tblPr>
        <w:tblStyle w:val="29"/>
        <w:tblW w:w="59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11"/>
        <w:gridCol w:w="1559"/>
        <w:gridCol w:w="2835"/>
        <w:gridCol w:w="567"/>
        <w:gridCol w:w="567"/>
      </w:tblGrid>
      <w:tr w14:paraId="686C84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tblHeader/>
          <w:jc w:val="center"/>
        </w:trPr>
        <w:tc>
          <w:tcPr>
            <w:tcW w:w="411" w:type="dxa"/>
            <w:vAlign w:val="center"/>
          </w:tcPr>
          <w:p w14:paraId="79F6A0F5">
            <w:pPr>
              <w:pStyle w:val="125"/>
              <w:widowControl w:val="0"/>
              <w:rPr>
                <w:b w:val="0"/>
                <w:color w:val="auto"/>
              </w:rPr>
            </w:pPr>
            <w:r>
              <w:rPr>
                <w:b/>
                <w:color w:val="auto"/>
              </w:rPr>
              <w:t>序号</w:t>
            </w:r>
          </w:p>
        </w:tc>
        <w:tc>
          <w:tcPr>
            <w:tcW w:w="1559" w:type="dxa"/>
            <w:vAlign w:val="center"/>
          </w:tcPr>
          <w:p w14:paraId="6BD5CD5F">
            <w:pPr>
              <w:pStyle w:val="125"/>
              <w:widowControl w:val="0"/>
              <w:rPr>
                <w:b w:val="0"/>
                <w:color w:val="auto"/>
              </w:rPr>
            </w:pPr>
            <w:r>
              <w:rPr>
                <w:b/>
                <w:color w:val="auto"/>
              </w:rPr>
              <w:t>设备名称</w:t>
            </w:r>
          </w:p>
        </w:tc>
        <w:tc>
          <w:tcPr>
            <w:tcW w:w="2835" w:type="dxa"/>
            <w:vAlign w:val="center"/>
          </w:tcPr>
          <w:p w14:paraId="5BAD2F46">
            <w:pPr>
              <w:pStyle w:val="125"/>
              <w:widowControl w:val="0"/>
              <w:rPr>
                <w:b w:val="0"/>
                <w:color w:val="auto"/>
              </w:rPr>
            </w:pPr>
            <w:r>
              <w:rPr>
                <w:b/>
                <w:color w:val="auto"/>
              </w:rPr>
              <w:t>规格型号</w:t>
            </w:r>
          </w:p>
        </w:tc>
        <w:tc>
          <w:tcPr>
            <w:tcW w:w="567" w:type="dxa"/>
            <w:vAlign w:val="center"/>
          </w:tcPr>
          <w:p w14:paraId="4AD224B6">
            <w:pPr>
              <w:pStyle w:val="125"/>
              <w:widowControl w:val="0"/>
              <w:rPr>
                <w:b w:val="0"/>
                <w:color w:val="auto"/>
              </w:rPr>
            </w:pPr>
            <w:r>
              <w:rPr>
                <w:b/>
                <w:color w:val="auto"/>
              </w:rPr>
              <w:t>单位</w:t>
            </w:r>
          </w:p>
        </w:tc>
        <w:tc>
          <w:tcPr>
            <w:tcW w:w="567" w:type="dxa"/>
            <w:vAlign w:val="center"/>
          </w:tcPr>
          <w:p w14:paraId="232DADD4">
            <w:pPr>
              <w:pStyle w:val="125"/>
              <w:widowControl w:val="0"/>
              <w:rPr>
                <w:b w:val="0"/>
                <w:color w:val="auto"/>
              </w:rPr>
            </w:pPr>
            <w:r>
              <w:rPr>
                <w:b/>
                <w:color w:val="auto"/>
              </w:rPr>
              <w:t>数量</w:t>
            </w:r>
          </w:p>
        </w:tc>
      </w:tr>
      <w:tr w14:paraId="7045A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11" w:type="dxa"/>
            <w:vAlign w:val="center"/>
          </w:tcPr>
          <w:p w14:paraId="64275090">
            <w:pPr>
              <w:pStyle w:val="125"/>
              <w:widowControl w:val="0"/>
              <w:rPr>
                <w:rFonts w:hint="default" w:eastAsia="宋体"/>
                <w:color w:val="auto"/>
                <w:lang w:val="en-US" w:eastAsia="zh-CN"/>
              </w:rPr>
            </w:pPr>
            <w:r>
              <w:rPr>
                <w:rFonts w:hint="eastAsia"/>
                <w:color w:val="auto"/>
                <w:lang w:val="en-US" w:eastAsia="zh-CN"/>
              </w:rPr>
              <w:t>1</w:t>
            </w:r>
          </w:p>
        </w:tc>
        <w:tc>
          <w:tcPr>
            <w:tcW w:w="1559" w:type="dxa"/>
            <w:vAlign w:val="center"/>
          </w:tcPr>
          <w:p w14:paraId="054CA6A8">
            <w:pPr>
              <w:pStyle w:val="125"/>
              <w:widowControl w:val="0"/>
              <w:rPr>
                <w:color w:val="auto"/>
              </w:rPr>
            </w:pPr>
            <w:r>
              <w:rPr>
                <w:color w:val="auto"/>
              </w:rPr>
              <w:t>起重用钢丝绳</w:t>
            </w:r>
          </w:p>
        </w:tc>
        <w:tc>
          <w:tcPr>
            <w:tcW w:w="2835" w:type="dxa"/>
            <w:vAlign w:val="center"/>
          </w:tcPr>
          <w:p w14:paraId="3735756E">
            <w:pPr>
              <w:pStyle w:val="125"/>
              <w:widowControl w:val="0"/>
              <w:rPr>
                <w:rFonts w:ascii="Times New Roman" w:hAnsi="Times New Roman" w:eastAsia="宋体"/>
              </w:rPr>
            </w:pPr>
            <w:r>
              <w:rPr>
                <w:rFonts w:hint="eastAsia"/>
                <w:lang w:val="en-US" w:eastAsia="zh-CN"/>
              </w:rPr>
              <w:t>32mm6×19S+FC1870Mpa</w:t>
            </w:r>
          </w:p>
        </w:tc>
        <w:tc>
          <w:tcPr>
            <w:tcW w:w="567" w:type="dxa"/>
            <w:vAlign w:val="center"/>
          </w:tcPr>
          <w:p w14:paraId="349EDB28">
            <w:pPr>
              <w:pStyle w:val="125"/>
              <w:widowControl w:val="0"/>
              <w:rPr>
                <w:color w:val="auto"/>
              </w:rPr>
            </w:pPr>
            <w:r>
              <w:rPr>
                <w:color w:val="auto"/>
              </w:rPr>
              <w:t>根</w:t>
            </w:r>
          </w:p>
        </w:tc>
        <w:tc>
          <w:tcPr>
            <w:tcW w:w="567" w:type="dxa"/>
            <w:vAlign w:val="center"/>
          </w:tcPr>
          <w:p w14:paraId="306508A6">
            <w:pPr>
              <w:pStyle w:val="125"/>
              <w:widowControl w:val="0"/>
              <w:rPr>
                <w:color w:val="auto"/>
              </w:rPr>
            </w:pPr>
            <w:r>
              <w:rPr>
                <w:color w:val="auto"/>
              </w:rPr>
              <w:t>4</w:t>
            </w:r>
          </w:p>
        </w:tc>
      </w:tr>
      <w:tr w14:paraId="60B1A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11" w:type="dxa"/>
            <w:vAlign w:val="center"/>
          </w:tcPr>
          <w:p w14:paraId="2A22D330">
            <w:pPr>
              <w:pStyle w:val="125"/>
              <w:widowControl w:val="0"/>
              <w:rPr>
                <w:rFonts w:hint="default"/>
                <w:color w:val="auto"/>
                <w:lang w:val="en-US" w:eastAsia="zh-CN"/>
              </w:rPr>
            </w:pPr>
            <w:r>
              <w:rPr>
                <w:rFonts w:hint="eastAsia"/>
                <w:color w:val="auto"/>
                <w:lang w:val="en-US" w:eastAsia="zh-CN"/>
              </w:rPr>
              <w:t>2</w:t>
            </w:r>
          </w:p>
        </w:tc>
        <w:tc>
          <w:tcPr>
            <w:tcW w:w="1559" w:type="dxa"/>
            <w:shd w:val="clear" w:color="auto" w:fill="auto"/>
            <w:vAlign w:val="center"/>
          </w:tcPr>
          <w:p w14:paraId="401F3E8F">
            <w:pPr>
              <w:pStyle w:val="125"/>
              <w:widowControl w:val="0"/>
              <w:ind w:firstLine="0" w:firstLineChars="0"/>
              <w:rPr>
                <w:rFonts w:ascii="仿宋" w:hAnsi="仿宋" w:eastAsia="仿宋" w:cs="Times New Roman"/>
                <w:bCs/>
                <w:color w:val="auto"/>
                <w:kern w:val="2"/>
                <w:sz w:val="21"/>
                <w:szCs w:val="28"/>
                <w:lang w:val="en-US" w:eastAsia="zh-CN" w:bidi="ar-SA"/>
              </w:rPr>
            </w:pPr>
            <w:r>
              <w:rPr>
                <w:color w:val="auto"/>
              </w:rPr>
              <w:t>起重用钢丝绳</w:t>
            </w:r>
          </w:p>
        </w:tc>
        <w:tc>
          <w:tcPr>
            <w:tcW w:w="2835" w:type="dxa"/>
            <w:shd w:val="clear" w:color="auto" w:fill="auto"/>
            <w:vAlign w:val="center"/>
          </w:tcPr>
          <w:p w14:paraId="0A187B62">
            <w:pPr>
              <w:pStyle w:val="125"/>
              <w:widowControl w:val="0"/>
              <w:ind w:firstLine="0" w:firstLineChars="0"/>
              <w:rPr>
                <w:rFonts w:hint="eastAsia" w:ascii="Times New Roman" w:hAnsi="Times New Roman" w:eastAsia="宋体" w:cs="Times New Roman"/>
                <w:bCs/>
                <w:color w:val="000000"/>
                <w:kern w:val="2"/>
                <w:sz w:val="21"/>
                <w:szCs w:val="28"/>
                <w:lang w:val="en-US" w:eastAsia="zh-CN" w:bidi="ar-SA"/>
              </w:rPr>
            </w:pPr>
            <w:r>
              <w:rPr>
                <w:rFonts w:hint="eastAsia"/>
                <w:lang w:val="en-US" w:eastAsia="zh-CN"/>
              </w:rPr>
              <w:t>22mm6×19S+FC1870Mpa</w:t>
            </w:r>
          </w:p>
        </w:tc>
        <w:tc>
          <w:tcPr>
            <w:tcW w:w="567" w:type="dxa"/>
            <w:shd w:val="clear" w:color="auto" w:fill="auto"/>
            <w:vAlign w:val="center"/>
          </w:tcPr>
          <w:p w14:paraId="4D0DAADF">
            <w:pPr>
              <w:pStyle w:val="125"/>
              <w:widowControl w:val="0"/>
              <w:ind w:firstLine="0" w:firstLineChars="0"/>
              <w:rPr>
                <w:rFonts w:ascii="仿宋" w:hAnsi="仿宋" w:eastAsia="仿宋" w:cs="Times New Roman"/>
                <w:bCs/>
                <w:color w:val="auto"/>
                <w:kern w:val="2"/>
                <w:sz w:val="21"/>
                <w:szCs w:val="28"/>
                <w:lang w:val="en-US" w:eastAsia="zh-CN" w:bidi="ar-SA"/>
              </w:rPr>
            </w:pPr>
            <w:r>
              <w:rPr>
                <w:color w:val="auto"/>
              </w:rPr>
              <w:t>根</w:t>
            </w:r>
          </w:p>
        </w:tc>
        <w:tc>
          <w:tcPr>
            <w:tcW w:w="567" w:type="dxa"/>
            <w:shd w:val="clear" w:color="auto" w:fill="auto"/>
            <w:vAlign w:val="center"/>
          </w:tcPr>
          <w:p w14:paraId="282E3F36">
            <w:pPr>
              <w:pStyle w:val="125"/>
              <w:widowControl w:val="0"/>
              <w:ind w:firstLine="0" w:firstLineChars="0"/>
              <w:rPr>
                <w:rFonts w:hint="default" w:ascii="仿宋" w:hAnsi="仿宋" w:eastAsia="仿宋" w:cs="Times New Roman"/>
                <w:bCs/>
                <w:color w:val="auto"/>
                <w:kern w:val="2"/>
                <w:sz w:val="21"/>
                <w:szCs w:val="28"/>
                <w:lang w:val="en-US" w:eastAsia="zh-CN" w:bidi="ar-SA"/>
              </w:rPr>
            </w:pPr>
            <w:r>
              <w:rPr>
                <w:rFonts w:hint="eastAsia" w:cs="Times New Roman"/>
                <w:bCs/>
                <w:color w:val="auto"/>
                <w:kern w:val="2"/>
                <w:sz w:val="21"/>
                <w:szCs w:val="28"/>
                <w:lang w:val="en-US" w:eastAsia="zh-CN" w:bidi="ar-SA"/>
              </w:rPr>
              <w:t>2</w:t>
            </w:r>
          </w:p>
        </w:tc>
      </w:tr>
      <w:tr w14:paraId="6FF4CB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11" w:type="dxa"/>
            <w:vAlign w:val="center"/>
          </w:tcPr>
          <w:p w14:paraId="0510E897">
            <w:pPr>
              <w:pStyle w:val="125"/>
              <w:widowControl w:val="0"/>
              <w:rPr>
                <w:rFonts w:hint="default"/>
                <w:color w:val="auto"/>
                <w:lang w:val="en-US" w:eastAsia="zh-CN"/>
              </w:rPr>
            </w:pPr>
            <w:r>
              <w:rPr>
                <w:rFonts w:hint="eastAsia"/>
                <w:color w:val="auto"/>
                <w:lang w:val="en-US" w:eastAsia="zh-CN"/>
              </w:rPr>
              <w:t>3</w:t>
            </w:r>
          </w:p>
        </w:tc>
        <w:tc>
          <w:tcPr>
            <w:tcW w:w="1559" w:type="dxa"/>
            <w:vAlign w:val="center"/>
          </w:tcPr>
          <w:p w14:paraId="1B80A647">
            <w:pPr>
              <w:pStyle w:val="125"/>
              <w:widowControl w:val="0"/>
              <w:ind w:firstLine="0" w:firstLineChars="0"/>
              <w:rPr>
                <w:rFonts w:ascii="Times New Roman" w:hAnsi="Times New Roman" w:eastAsia="宋体" w:cstheme="minorBidi"/>
                <w:color w:val="auto"/>
                <w:kern w:val="2"/>
                <w:sz w:val="21"/>
                <w:szCs w:val="21"/>
                <w:lang w:val="en-US" w:eastAsia="zh-CN" w:bidi="ar-SA"/>
              </w:rPr>
            </w:pPr>
            <w:r>
              <w:rPr>
                <w:color w:val="auto"/>
              </w:rPr>
              <w:t>卸扣</w:t>
            </w:r>
          </w:p>
        </w:tc>
        <w:tc>
          <w:tcPr>
            <w:tcW w:w="2835" w:type="dxa"/>
            <w:vAlign w:val="center"/>
          </w:tcPr>
          <w:p w14:paraId="7E93F61F">
            <w:pPr>
              <w:pStyle w:val="125"/>
              <w:widowControl w:val="0"/>
              <w:rPr>
                <w:rFonts w:hint="default" w:ascii="Times New Roman" w:hAnsi="Times New Roman" w:eastAsia="宋体"/>
                <w:lang w:val="en-US" w:eastAsia="zh-CN"/>
              </w:rPr>
            </w:pPr>
            <w:r>
              <w:rPr>
                <w:rFonts w:hint="eastAsia"/>
                <w:lang w:eastAsia="zh-CN"/>
              </w:rPr>
              <w:t>GB/T 25854-6-DW</w:t>
            </w:r>
            <w:r>
              <w:rPr>
                <w:rFonts w:hint="eastAsia"/>
                <w:lang w:val="en-US" w:eastAsia="zh-CN"/>
              </w:rPr>
              <w:t>10</w:t>
            </w:r>
          </w:p>
        </w:tc>
        <w:tc>
          <w:tcPr>
            <w:tcW w:w="567" w:type="dxa"/>
            <w:vAlign w:val="center"/>
          </w:tcPr>
          <w:p w14:paraId="0B06581D">
            <w:pPr>
              <w:pStyle w:val="125"/>
              <w:widowControl w:val="0"/>
              <w:ind w:firstLine="0" w:firstLineChars="0"/>
              <w:rPr>
                <w:rFonts w:ascii="Times New Roman" w:hAnsi="Times New Roman" w:eastAsia="宋体" w:cstheme="minorBidi"/>
                <w:color w:val="auto"/>
                <w:kern w:val="2"/>
                <w:sz w:val="21"/>
                <w:szCs w:val="21"/>
                <w:lang w:val="en-US" w:eastAsia="zh-CN" w:bidi="ar-SA"/>
              </w:rPr>
            </w:pPr>
            <w:r>
              <w:rPr>
                <w:color w:val="auto"/>
              </w:rPr>
              <w:t>个</w:t>
            </w:r>
          </w:p>
        </w:tc>
        <w:tc>
          <w:tcPr>
            <w:tcW w:w="567" w:type="dxa"/>
            <w:vAlign w:val="center"/>
          </w:tcPr>
          <w:p w14:paraId="46D192F0">
            <w:pPr>
              <w:pStyle w:val="125"/>
              <w:widowControl w:val="0"/>
              <w:ind w:firstLine="0" w:firstLineChars="0"/>
              <w:rPr>
                <w:rFonts w:ascii="Times New Roman" w:hAnsi="Times New Roman" w:eastAsia="宋体" w:cstheme="minorBidi"/>
                <w:color w:val="auto"/>
                <w:kern w:val="2"/>
                <w:sz w:val="21"/>
                <w:szCs w:val="21"/>
                <w:lang w:val="en-US" w:eastAsia="zh-CN" w:bidi="ar-SA"/>
              </w:rPr>
            </w:pPr>
            <w:r>
              <w:rPr>
                <w:color w:val="auto"/>
              </w:rPr>
              <w:t>4</w:t>
            </w:r>
          </w:p>
        </w:tc>
      </w:tr>
      <w:tr w14:paraId="1E4816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11" w:type="dxa"/>
            <w:vAlign w:val="center"/>
          </w:tcPr>
          <w:p w14:paraId="3702E8C6">
            <w:pPr>
              <w:pStyle w:val="125"/>
              <w:widowControl w:val="0"/>
              <w:rPr>
                <w:rFonts w:hint="default"/>
                <w:color w:val="auto"/>
                <w:lang w:val="en-US" w:eastAsia="zh-CN"/>
              </w:rPr>
            </w:pPr>
            <w:r>
              <w:rPr>
                <w:rFonts w:hint="eastAsia"/>
                <w:color w:val="auto"/>
                <w:lang w:val="en-US" w:eastAsia="zh-CN"/>
              </w:rPr>
              <w:t>4</w:t>
            </w:r>
          </w:p>
        </w:tc>
        <w:tc>
          <w:tcPr>
            <w:tcW w:w="1559" w:type="dxa"/>
            <w:shd w:val="clear" w:color="auto" w:fill="auto"/>
            <w:vAlign w:val="center"/>
          </w:tcPr>
          <w:p w14:paraId="6C5BDE3F">
            <w:pPr>
              <w:pStyle w:val="125"/>
              <w:widowControl w:val="0"/>
              <w:ind w:firstLine="0" w:firstLineChars="0"/>
              <w:rPr>
                <w:rFonts w:ascii="Times New Roman" w:hAnsi="Times New Roman" w:eastAsia="宋体" w:cstheme="minorBidi"/>
                <w:bCs/>
                <w:color w:val="auto"/>
                <w:kern w:val="2"/>
                <w:sz w:val="21"/>
                <w:szCs w:val="21"/>
                <w:lang w:val="en-US" w:eastAsia="zh-CN" w:bidi="ar-SA"/>
              </w:rPr>
            </w:pPr>
            <w:r>
              <w:rPr>
                <w:color w:val="auto"/>
              </w:rPr>
              <w:t>卸扣</w:t>
            </w:r>
          </w:p>
        </w:tc>
        <w:tc>
          <w:tcPr>
            <w:tcW w:w="2835" w:type="dxa"/>
            <w:shd w:val="clear" w:color="auto" w:fill="auto"/>
            <w:vAlign w:val="center"/>
          </w:tcPr>
          <w:p w14:paraId="779A78E9">
            <w:pPr>
              <w:pStyle w:val="125"/>
              <w:widowControl w:val="0"/>
              <w:ind w:firstLine="0" w:firstLineChars="0"/>
              <w:rPr>
                <w:rFonts w:hint="default" w:ascii="Times New Roman" w:hAnsi="Times New Roman" w:eastAsia="宋体" w:cs="Times New Roman"/>
                <w:bCs/>
                <w:color w:val="000000"/>
                <w:kern w:val="2"/>
                <w:sz w:val="21"/>
                <w:szCs w:val="28"/>
                <w:lang w:val="en-US" w:eastAsia="zh-CN" w:bidi="ar-SA"/>
              </w:rPr>
            </w:pPr>
            <w:r>
              <w:rPr>
                <w:rFonts w:hint="eastAsia"/>
                <w:lang w:eastAsia="zh-CN"/>
              </w:rPr>
              <w:t>GB/T 25854-6-DW</w:t>
            </w:r>
            <w:r>
              <w:rPr>
                <w:rFonts w:hint="eastAsia"/>
                <w:lang w:val="en-US" w:eastAsia="zh-CN"/>
              </w:rPr>
              <w:t>5</w:t>
            </w:r>
          </w:p>
        </w:tc>
        <w:tc>
          <w:tcPr>
            <w:tcW w:w="567" w:type="dxa"/>
            <w:shd w:val="clear" w:color="auto" w:fill="auto"/>
            <w:vAlign w:val="center"/>
          </w:tcPr>
          <w:p w14:paraId="354AAD56">
            <w:pPr>
              <w:pStyle w:val="125"/>
              <w:widowControl w:val="0"/>
              <w:ind w:firstLine="0" w:firstLineChars="0"/>
              <w:rPr>
                <w:rFonts w:ascii="Times New Roman" w:hAnsi="Times New Roman" w:eastAsia="宋体" w:cstheme="minorBidi"/>
                <w:bCs/>
                <w:color w:val="auto"/>
                <w:kern w:val="2"/>
                <w:sz w:val="21"/>
                <w:szCs w:val="21"/>
                <w:lang w:val="en-US" w:eastAsia="zh-CN" w:bidi="ar-SA"/>
              </w:rPr>
            </w:pPr>
            <w:r>
              <w:rPr>
                <w:color w:val="auto"/>
              </w:rPr>
              <w:t>个</w:t>
            </w:r>
          </w:p>
        </w:tc>
        <w:tc>
          <w:tcPr>
            <w:tcW w:w="567" w:type="dxa"/>
            <w:shd w:val="clear" w:color="auto" w:fill="auto"/>
            <w:vAlign w:val="center"/>
          </w:tcPr>
          <w:p w14:paraId="6A91A7F5">
            <w:pPr>
              <w:pStyle w:val="125"/>
              <w:widowControl w:val="0"/>
              <w:ind w:firstLine="0" w:firstLineChars="0"/>
              <w:rPr>
                <w:rFonts w:hint="default" w:ascii="Times New Roman" w:hAnsi="Times New Roman" w:eastAsia="宋体" w:cstheme="minorBidi"/>
                <w:bCs/>
                <w:color w:val="auto"/>
                <w:kern w:val="2"/>
                <w:sz w:val="21"/>
                <w:szCs w:val="21"/>
                <w:lang w:val="en-US" w:eastAsia="zh-CN" w:bidi="ar-SA"/>
              </w:rPr>
            </w:pPr>
            <w:r>
              <w:rPr>
                <w:rFonts w:hint="eastAsia" w:ascii="Times New Roman" w:hAnsi="Times New Roman" w:eastAsia="宋体" w:cstheme="minorBidi"/>
                <w:bCs/>
                <w:color w:val="auto"/>
                <w:kern w:val="2"/>
                <w:sz w:val="21"/>
                <w:szCs w:val="21"/>
                <w:lang w:val="en-US" w:eastAsia="zh-CN" w:bidi="ar-SA"/>
              </w:rPr>
              <w:t>2</w:t>
            </w:r>
          </w:p>
        </w:tc>
      </w:tr>
    </w:tbl>
    <w:p w14:paraId="7446392E">
      <w:pPr>
        <w:pStyle w:val="9"/>
        <w:spacing w:line="240" w:lineRule="auto"/>
        <w:ind w:left="0" w:leftChars="0" w:firstLine="0" w:firstLineChars="0"/>
        <w:rPr>
          <w:color w:val="000000"/>
        </w:rPr>
      </w:pPr>
    </w:p>
    <w:p w14:paraId="549DC7F4">
      <w:pPr>
        <w:pStyle w:val="3"/>
        <w:rPr>
          <w:color w:val="000000"/>
        </w:rPr>
      </w:pPr>
      <w:bookmarkStart w:id="55" w:name="_Toc12407"/>
      <w:r>
        <w:rPr>
          <w:rFonts w:hint="eastAsia"/>
          <w:color w:val="000000"/>
        </w:rPr>
        <w:t>.塔机拆除具体步骤</w:t>
      </w:r>
      <w:bookmarkEnd w:id="55"/>
    </w:p>
    <w:p w14:paraId="619230E4">
      <w:pPr>
        <w:pStyle w:val="4"/>
        <w:rPr>
          <w:color w:val="000000"/>
        </w:rPr>
      </w:pPr>
      <w:bookmarkStart w:id="56" w:name="_Toc28378"/>
      <w:r>
        <w:rPr>
          <w:rFonts w:hint="eastAsia"/>
          <w:color w:val="000000"/>
        </w:rPr>
        <w:t>降节</w:t>
      </w:r>
      <w:bookmarkEnd w:id="56"/>
    </w:p>
    <w:p w14:paraId="2F5554EA">
      <w:pPr>
        <w:ind w:firstLine="562"/>
        <w:rPr>
          <w:b/>
          <w:color w:val="000000"/>
        </w:rPr>
      </w:pPr>
      <w:r>
        <w:rPr>
          <w:rFonts w:hint="eastAsia"/>
          <w:b/>
          <w:color w:val="000000"/>
        </w:rPr>
        <w:t>1、降节前的准备</w:t>
      </w:r>
    </w:p>
    <w:p w14:paraId="6B66B210">
      <w:pPr>
        <w:widowControl w:val="0"/>
        <w:rPr>
          <w:color w:val="000000"/>
        </w:rPr>
      </w:pPr>
      <w:r>
        <w:rPr>
          <w:rFonts w:hint="eastAsia"/>
          <w:color w:val="000000"/>
        </w:rPr>
        <w:t>（1）按液压泵站要求给其油箱加油；</w:t>
      </w:r>
    </w:p>
    <w:p w14:paraId="6FF90DF9">
      <w:pPr>
        <w:widowControl w:val="0"/>
        <w:rPr>
          <w:color w:val="000000"/>
        </w:rPr>
      </w:pPr>
      <w:r>
        <w:rPr>
          <w:rFonts w:hint="eastAsia"/>
          <w:color w:val="000000"/>
        </w:rPr>
        <w:t>（2）清理好降节时下方摆放标准节的场地；</w:t>
      </w:r>
    </w:p>
    <w:p w14:paraId="13CD3757">
      <w:pPr>
        <w:widowControl w:val="0"/>
        <w:rPr>
          <w:color w:val="000000"/>
        </w:rPr>
      </w:pPr>
      <w:r>
        <w:rPr>
          <w:rFonts w:hint="eastAsia"/>
          <w:color w:val="000000"/>
        </w:rPr>
        <w:t>（3）使降节过程所用时间最短；</w:t>
      </w:r>
    </w:p>
    <w:p w14:paraId="45A12893">
      <w:pPr>
        <w:widowControl w:val="0"/>
        <w:rPr>
          <w:color w:val="000000"/>
        </w:rPr>
      </w:pPr>
      <w:r>
        <w:rPr>
          <w:rFonts w:hint="eastAsia"/>
          <w:color w:val="000000"/>
        </w:rPr>
        <w:t>（4）放松电缆长度略大于总的降节高度，并紧固好电缆；</w:t>
      </w:r>
    </w:p>
    <w:p w14:paraId="38098368">
      <w:pPr>
        <w:widowControl w:val="0"/>
        <w:rPr>
          <w:color w:val="000000"/>
        </w:rPr>
      </w:pPr>
      <w:r>
        <w:rPr>
          <w:rFonts w:hint="eastAsia"/>
          <w:color w:val="000000"/>
        </w:rPr>
        <w:t>（5）将起重臂旋转至爬升架前方（顶升油缸正好位于平衡臂下方）；</w:t>
      </w:r>
    </w:p>
    <w:p w14:paraId="4C89AC8F">
      <w:pPr>
        <w:widowControl w:val="0"/>
        <w:rPr>
          <w:rFonts w:hint="eastAsia"/>
          <w:color w:val="000000"/>
        </w:rPr>
      </w:pPr>
      <w:r>
        <w:rPr>
          <w:rFonts w:hint="eastAsia"/>
          <w:color w:val="000000"/>
        </w:rPr>
        <w:t>（6）</w:t>
      </w:r>
      <w:r>
        <w:rPr>
          <w:rFonts w:hint="eastAsia"/>
          <w:color w:val="000000"/>
          <w:lang w:val="en-US" w:eastAsia="zh-CN"/>
        </w:rPr>
        <w:t>检查、调试并确认顶升机构工作正确、可靠，保证套架能按塔机爬升规定的程序上升、下降、可靠停止；运行过程中应平稳，无爬行、振动现象；</w:t>
      </w:r>
    </w:p>
    <w:p w14:paraId="0F1A66CF">
      <w:pPr>
        <w:widowControl w:val="0"/>
        <w:rPr>
          <w:rFonts w:hint="eastAsia"/>
          <w:color w:val="000000"/>
        </w:rPr>
      </w:pPr>
      <w:r>
        <w:rPr>
          <w:rFonts w:hint="eastAsia"/>
          <w:color w:val="000000"/>
        </w:rPr>
        <w:t>（</w:t>
      </w:r>
      <w:r>
        <w:rPr>
          <w:rFonts w:hint="eastAsia"/>
          <w:color w:val="000000"/>
          <w:lang w:val="en-US" w:eastAsia="zh-CN"/>
        </w:rPr>
        <w:t>7</w:t>
      </w:r>
      <w:r>
        <w:rPr>
          <w:rFonts w:hint="eastAsia"/>
          <w:color w:val="000000"/>
        </w:rPr>
        <w:t>）</w:t>
      </w:r>
      <w:r>
        <w:rPr>
          <w:rFonts w:hint="eastAsia"/>
          <w:color w:val="000000"/>
          <w:lang w:val="en-US" w:eastAsia="zh-CN"/>
        </w:rPr>
        <w:t>检查套架支承系统，确保各部分运动灵活，承重可靠；</w:t>
      </w:r>
    </w:p>
    <w:p w14:paraId="460A07F4">
      <w:pPr>
        <w:widowControl w:val="0"/>
        <w:rPr>
          <w:rFonts w:hint="eastAsia"/>
          <w:color w:val="000000"/>
        </w:rPr>
      </w:pPr>
      <w:r>
        <w:rPr>
          <w:rFonts w:hint="eastAsia"/>
          <w:color w:val="000000"/>
        </w:rPr>
        <w:t>（</w:t>
      </w:r>
      <w:r>
        <w:rPr>
          <w:rFonts w:hint="eastAsia"/>
          <w:color w:val="000000"/>
          <w:lang w:val="en-US" w:eastAsia="zh-CN"/>
        </w:rPr>
        <w:t>8</w:t>
      </w:r>
      <w:r>
        <w:rPr>
          <w:rFonts w:hint="eastAsia"/>
          <w:color w:val="000000"/>
        </w:rPr>
        <w:t>）</w:t>
      </w:r>
      <w:r>
        <w:rPr>
          <w:rFonts w:hint="eastAsia"/>
          <w:color w:val="000000"/>
          <w:lang w:val="en-US" w:eastAsia="zh-CN"/>
        </w:rPr>
        <w:t xml:space="preserve">液压顶升机构应保证安全，溢流阀的调整压力不得大于系统额定工作压力的 </w:t>
      </w:r>
      <w:r>
        <w:rPr>
          <w:rFonts w:hint="default"/>
          <w:color w:val="000000"/>
          <w:lang w:val="en-US" w:eastAsia="zh-CN"/>
        </w:rPr>
        <w:t>110%</w:t>
      </w:r>
      <w:r>
        <w:rPr>
          <w:rFonts w:hint="eastAsia"/>
          <w:color w:val="000000"/>
          <w:lang w:val="en-US" w:eastAsia="zh-CN"/>
        </w:rPr>
        <w:t>。</w:t>
      </w:r>
    </w:p>
    <w:p w14:paraId="4003DF10">
      <w:pPr>
        <w:ind w:firstLine="562"/>
        <w:rPr>
          <w:b/>
          <w:color w:val="000000"/>
        </w:rPr>
      </w:pPr>
      <w:r>
        <w:rPr>
          <w:rFonts w:hint="eastAsia"/>
          <w:b/>
          <w:color w:val="000000"/>
        </w:rPr>
        <w:t>2、降节前塔机的配平</w:t>
      </w:r>
    </w:p>
    <w:p w14:paraId="43FB29CE">
      <w:pPr>
        <w:widowControl w:val="0"/>
        <w:spacing w:after="156" w:afterLines="50"/>
        <w:rPr>
          <w:color w:val="000000"/>
        </w:rPr>
      </w:pPr>
      <w:r>
        <w:rPr>
          <w:rFonts w:hint="eastAsia"/>
          <w:color w:val="000000"/>
        </w:rPr>
        <w:t>（1）塔机配平前，</w:t>
      </w:r>
      <w:r>
        <w:rPr>
          <w:rFonts w:hint="eastAsia"/>
          <w:color w:val="000000"/>
          <w:lang w:val="en-US" w:eastAsia="zh-CN"/>
        </w:rPr>
        <w:t xml:space="preserve">必须先吊一节标准节放在下支座的引进横梁上（标准节的平台、平台栏杆和爬梯要固定好），钢丝绳挂在标准节的对角吊耳上，再将载重小车吊一节标准节运行到配平参考位置，然后拆除下支座 </w:t>
      </w:r>
      <w:r>
        <w:rPr>
          <w:rFonts w:hint="default"/>
          <w:color w:val="000000"/>
          <w:lang w:val="en-US" w:eastAsia="zh-CN"/>
        </w:rPr>
        <w:t xml:space="preserve">4 </w:t>
      </w:r>
      <w:r>
        <w:rPr>
          <w:rFonts w:hint="eastAsia"/>
          <w:color w:val="000000"/>
          <w:lang w:val="en-US" w:eastAsia="zh-CN"/>
        </w:rPr>
        <w:t xml:space="preserve">个支腿与标准节连接的 </w:t>
      </w:r>
      <w:r>
        <w:rPr>
          <w:rFonts w:hint="default"/>
          <w:color w:val="000000"/>
          <w:lang w:val="en-US" w:eastAsia="zh-CN"/>
        </w:rPr>
        <w:t xml:space="preserve">8 </w:t>
      </w:r>
      <w:r>
        <w:rPr>
          <w:rFonts w:hint="eastAsia"/>
          <w:color w:val="000000"/>
          <w:lang w:val="en-US" w:eastAsia="zh-CN"/>
        </w:rPr>
        <w:t>个销轴；</w:t>
      </w:r>
    </w:p>
    <w:p w14:paraId="6DD14FB5">
      <w:pPr>
        <w:spacing w:line="240" w:lineRule="auto"/>
        <w:ind w:firstLine="0" w:firstLineChars="0"/>
        <w:jc w:val="center"/>
        <w:rPr>
          <w:color w:val="000000"/>
        </w:rPr>
      </w:pPr>
      <w:r>
        <w:drawing>
          <wp:inline distT="0" distB="0" distL="114300" distR="114300">
            <wp:extent cx="4448175" cy="3000375"/>
            <wp:effectExtent l="0" t="0" r="9525" b="952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26"/>
                    <a:stretch>
                      <a:fillRect/>
                    </a:stretch>
                  </pic:blipFill>
                  <pic:spPr>
                    <a:xfrm>
                      <a:off x="0" y="0"/>
                      <a:ext cx="4448175" cy="3000375"/>
                    </a:xfrm>
                    <a:prstGeom prst="rect">
                      <a:avLst/>
                    </a:prstGeom>
                    <a:noFill/>
                    <a:ln>
                      <a:noFill/>
                    </a:ln>
                  </pic:spPr>
                </pic:pic>
              </a:graphicData>
            </a:graphic>
          </wp:inline>
        </w:drawing>
      </w:r>
    </w:p>
    <w:p w14:paraId="1E1FC330">
      <w:pPr>
        <w:spacing w:line="240" w:lineRule="auto"/>
        <w:ind w:firstLine="0" w:firstLineChars="0"/>
        <w:jc w:val="center"/>
        <w:rPr>
          <w:color w:val="000000"/>
        </w:rPr>
      </w:pPr>
      <w:r>
        <w:drawing>
          <wp:inline distT="0" distB="0" distL="114300" distR="114300">
            <wp:extent cx="5293360" cy="2692400"/>
            <wp:effectExtent l="0" t="0" r="2540" b="12700"/>
            <wp:docPr id="4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1"/>
                    <pic:cNvPicPr>
                      <a:picLocks noChangeAspect="1"/>
                    </pic:cNvPicPr>
                  </pic:nvPicPr>
                  <pic:blipFill>
                    <a:blip r:embed="rId27"/>
                    <a:stretch>
                      <a:fillRect/>
                    </a:stretch>
                  </pic:blipFill>
                  <pic:spPr>
                    <a:xfrm>
                      <a:off x="0" y="0"/>
                      <a:ext cx="5293360" cy="2692400"/>
                    </a:xfrm>
                    <a:prstGeom prst="rect">
                      <a:avLst/>
                    </a:prstGeom>
                    <a:noFill/>
                    <a:ln>
                      <a:noFill/>
                    </a:ln>
                  </pic:spPr>
                </pic:pic>
              </a:graphicData>
            </a:graphic>
          </wp:inline>
        </w:drawing>
      </w:r>
    </w:p>
    <w:p w14:paraId="3885B73B">
      <w:pPr>
        <w:pStyle w:val="12"/>
        <w:rPr>
          <w:rFonts w:ascii="仿宋" w:hAnsi="仿宋" w:eastAsia="仿宋"/>
          <w:color w:val="000000"/>
          <w:sz w:val="24"/>
          <w:szCs w:val="24"/>
        </w:rPr>
      </w:pPr>
      <w:r>
        <w:rPr>
          <w:rFonts w:hint="eastAsia" w:ascii="仿宋" w:hAnsi="仿宋" w:eastAsia="仿宋"/>
          <w:color w:val="000000"/>
        </w:rPr>
        <w:t xml:space="preserve">图 </w:t>
      </w:r>
      <w:r>
        <w:rPr>
          <w:rFonts w:hint="eastAsia" w:ascii="仿宋" w:hAnsi="仿宋" w:eastAsia="仿宋"/>
          <w:color w:val="000000"/>
        </w:rPr>
        <w:fldChar w:fldCharType="begin"/>
      </w:r>
      <w:r>
        <w:rPr>
          <w:rFonts w:hint="eastAsia" w:ascii="仿宋" w:hAnsi="仿宋" w:eastAsia="仿宋"/>
          <w:color w:val="000000"/>
        </w:rPr>
        <w:instrText xml:space="preserve"> STYLEREF 2 \s </w:instrText>
      </w:r>
      <w:r>
        <w:rPr>
          <w:rFonts w:hint="eastAsia" w:ascii="仿宋" w:hAnsi="仿宋" w:eastAsia="仿宋"/>
          <w:color w:val="000000"/>
        </w:rPr>
        <w:fldChar w:fldCharType="separate"/>
      </w:r>
      <w:r>
        <w:rPr>
          <w:rFonts w:hint="eastAsia" w:ascii="仿宋" w:hAnsi="仿宋" w:eastAsia="仿宋"/>
          <w:color w:val="000000"/>
        </w:rPr>
        <w:t>5.2</w:t>
      </w:r>
      <w:r>
        <w:rPr>
          <w:rFonts w:hint="eastAsia" w:ascii="仿宋" w:hAnsi="仿宋" w:eastAsia="仿宋"/>
          <w:color w:val="000000"/>
        </w:rPr>
        <w:fldChar w:fldCharType="end"/>
      </w:r>
      <w:r>
        <w:rPr>
          <w:rFonts w:hint="eastAsia" w:ascii="仿宋" w:hAnsi="仿宋" w:eastAsia="仿宋"/>
          <w:color w:val="000000"/>
        </w:rPr>
        <w:t>-</w:t>
      </w:r>
      <w:r>
        <w:rPr>
          <w:rFonts w:hint="eastAsia" w:ascii="仿宋" w:hAnsi="仿宋" w:eastAsia="仿宋"/>
          <w:color w:val="000000"/>
        </w:rPr>
        <w:fldChar w:fldCharType="begin"/>
      </w:r>
      <w:r>
        <w:rPr>
          <w:rFonts w:hint="eastAsia" w:ascii="仿宋" w:hAnsi="仿宋" w:eastAsia="仿宋"/>
          <w:color w:val="000000"/>
        </w:rPr>
        <w:instrText xml:space="preserve"> SEQ 图 \* ARABIC \s 2 </w:instrText>
      </w:r>
      <w:r>
        <w:rPr>
          <w:rFonts w:hint="eastAsia" w:ascii="仿宋" w:hAnsi="仿宋" w:eastAsia="仿宋"/>
          <w:color w:val="000000"/>
        </w:rPr>
        <w:fldChar w:fldCharType="separate"/>
      </w:r>
      <w:r>
        <w:rPr>
          <w:rFonts w:hint="eastAsia" w:ascii="仿宋" w:hAnsi="仿宋" w:eastAsia="仿宋"/>
          <w:color w:val="000000"/>
        </w:rPr>
        <w:t>1</w:t>
      </w:r>
      <w:r>
        <w:rPr>
          <w:rFonts w:hint="eastAsia" w:ascii="仿宋" w:hAnsi="仿宋" w:eastAsia="仿宋"/>
          <w:color w:val="000000"/>
        </w:rPr>
        <w:fldChar w:fldCharType="end"/>
      </w:r>
      <w:r>
        <w:rPr>
          <w:rFonts w:hint="eastAsia" w:ascii="仿宋" w:hAnsi="仿宋" w:eastAsia="仿宋"/>
          <w:color w:val="000000"/>
          <w:sz w:val="24"/>
          <w:szCs w:val="24"/>
        </w:rPr>
        <w:t xml:space="preserve"> 理论配平数据</w:t>
      </w:r>
    </w:p>
    <w:p w14:paraId="5162D875">
      <w:pPr>
        <w:keepNext w:val="0"/>
        <w:keepLines w:val="0"/>
        <w:widowControl/>
        <w:suppressLineNumbers w:val="0"/>
        <w:jc w:val="left"/>
        <w:rPr>
          <w:rFonts w:hint="eastAsia"/>
          <w:color w:val="000000"/>
        </w:rPr>
      </w:pPr>
      <w:r>
        <w:rPr>
          <w:rFonts w:hint="eastAsia"/>
          <w:color w:val="000000"/>
        </w:rPr>
        <w:t>（2）将液压顶升系统操纵杆推至“顶升方向”，</w:t>
      </w:r>
      <w:r>
        <w:rPr>
          <w:rFonts w:hint="eastAsia"/>
          <w:color w:val="000000"/>
          <w:lang w:val="en-US" w:eastAsia="zh-CN"/>
        </w:rPr>
        <w:t>使套架顶升至下支座支腿刚刚脱离塔身的主弦杆的位置；</w:t>
      </w:r>
    </w:p>
    <w:p w14:paraId="3C371EEA">
      <w:pPr>
        <w:widowControl w:val="0"/>
        <w:rPr>
          <w:rFonts w:hint="eastAsia"/>
          <w:color w:val="000000"/>
        </w:rPr>
      </w:pPr>
      <w:r>
        <w:rPr>
          <w:rFonts w:hint="eastAsia"/>
          <w:color w:val="000000"/>
        </w:rPr>
        <w:t>（3）</w:t>
      </w:r>
      <w:r>
        <w:rPr>
          <w:rFonts w:hint="eastAsia"/>
          <w:color w:val="000000"/>
          <w:lang w:val="en-US" w:eastAsia="zh-CN"/>
        </w:rPr>
        <w:t>通过检验下支座支腿与塔身主弦杆是否在一条垂直线上，并观察套架</w:t>
      </w:r>
      <w:r>
        <w:rPr>
          <w:rFonts w:hint="default"/>
          <w:color w:val="000000"/>
          <w:lang w:val="en-US" w:eastAsia="zh-CN"/>
        </w:rPr>
        <w:t>8</w:t>
      </w:r>
      <w:r>
        <w:rPr>
          <w:rFonts w:hint="eastAsia"/>
          <w:color w:val="000000"/>
          <w:lang w:val="en-US" w:eastAsia="zh-CN"/>
        </w:rPr>
        <w:t>个导轮与塔身主弦杆间隙是否基本相同来检查塔机是否平衡。略微调整载重小车的配平位置，直至平衡。记录实际配平位置，以后顶升或降节时使用。必须使得塔机上部重心落在顶升油缸梁的位置上；</w:t>
      </w:r>
    </w:p>
    <w:p w14:paraId="1F5F3AB5">
      <w:pPr>
        <w:widowControl w:val="0"/>
        <w:rPr>
          <w:color w:val="000000"/>
        </w:rPr>
      </w:pPr>
      <w:r>
        <w:rPr>
          <w:rFonts w:hint="eastAsia"/>
          <w:color w:val="000000"/>
        </w:rPr>
        <w:t>（4）记录载重小车的配平位置，但要注意这个标志的位置随起重臂长度不同而改变；</w:t>
      </w:r>
    </w:p>
    <w:p w14:paraId="2714A7B7">
      <w:pPr>
        <w:widowControl w:val="0"/>
        <w:rPr>
          <w:color w:val="000000"/>
        </w:rPr>
      </w:pPr>
      <w:r>
        <w:rPr>
          <w:rFonts w:hint="eastAsia"/>
          <w:color w:val="000000"/>
        </w:rPr>
        <w:t>（5）操纵液压系统使爬升架下降，连接好</w:t>
      </w:r>
      <w:r>
        <w:rPr>
          <w:rFonts w:hint="eastAsia"/>
          <w:color w:val="000000"/>
          <w:lang w:val="en-US" w:eastAsia="zh-CN"/>
        </w:rPr>
        <w:t>下支座</w:t>
      </w:r>
      <w:r>
        <w:rPr>
          <w:rFonts w:hint="eastAsia"/>
          <w:color w:val="000000"/>
        </w:rPr>
        <w:t>和塔身节间</w:t>
      </w:r>
      <w:r>
        <w:rPr>
          <w:rFonts w:hint="eastAsia"/>
          <w:color w:val="000000"/>
          <w:lang w:val="en-US" w:eastAsia="zh-CN"/>
        </w:rPr>
        <w:t>顶升用临时</w:t>
      </w:r>
      <w:r>
        <w:rPr>
          <w:rFonts w:hint="eastAsia"/>
          <w:color w:val="000000"/>
        </w:rPr>
        <w:t>销轴。</w:t>
      </w:r>
    </w:p>
    <w:p w14:paraId="1D6EACE4">
      <w:pPr>
        <w:ind w:firstLine="562"/>
        <w:rPr>
          <w:b/>
          <w:color w:val="000000"/>
        </w:rPr>
      </w:pPr>
      <w:r>
        <w:rPr>
          <w:rFonts w:hint="eastAsia"/>
          <w:b/>
          <w:color w:val="000000"/>
        </w:rPr>
        <w:t>3、降节作业</w:t>
      </w:r>
    </w:p>
    <w:p w14:paraId="3D1EDE07">
      <w:pPr>
        <w:widowControl w:val="0"/>
        <w:rPr>
          <w:color w:val="000000"/>
        </w:rPr>
      </w:pPr>
      <w:r>
        <w:rPr>
          <w:rFonts w:hint="eastAsia"/>
          <w:color w:val="000000"/>
        </w:rPr>
        <w:t>将起重臂回转到引进方向(爬升架中有开口的一侧)，使回转制动器处于制动状态，载重小车停在配平位置(与立塔顶升加节时载重小车的配平位置一致)；</w:t>
      </w:r>
    </w:p>
    <w:p w14:paraId="64A7B9E9">
      <w:pPr>
        <w:widowControl w:val="0"/>
        <w:rPr>
          <w:rFonts w:hint="eastAsia"/>
          <w:color w:val="000000"/>
        </w:rPr>
      </w:pPr>
      <w:r>
        <w:rPr>
          <w:rFonts w:hint="eastAsia"/>
          <w:color w:val="000000"/>
          <w:lang w:val="en-US" w:eastAsia="zh-CN"/>
        </w:rPr>
        <w:t>将套架的四个角用销轴锁定，拆掉最上面塔身标准节与下支座的连接销轴，稍稍向上顶升，将单轨小车吊链安装固定在标准节吊装位置处，并保证安全可靠；然后拆掉最上面的塔身标准节与下一节标准节的连接销轴；</w:t>
      </w:r>
    </w:p>
    <w:p w14:paraId="3135A66A">
      <w:pPr>
        <w:widowControl w:val="0"/>
      </w:pPr>
      <w:r>
        <w:rPr>
          <w:rFonts w:hint="eastAsia"/>
          <w:color w:val="000000"/>
          <w:lang w:val="en-US" w:eastAsia="zh-CN"/>
        </w:rPr>
        <w:t>伸长顶升油缸，将顶升横梁顶在从上往下数第三个踏步的圆弧槽内，将上部结构顶起；</w:t>
      </w:r>
    </w:p>
    <w:p w14:paraId="0E2DE2A6">
      <w:pPr>
        <w:widowControl w:val="0"/>
        <w:rPr>
          <w:rFonts w:hint="eastAsia"/>
          <w:color w:val="000000"/>
        </w:rPr>
      </w:pPr>
      <w:r>
        <w:rPr>
          <w:rFonts w:hint="eastAsia"/>
          <w:color w:val="000000"/>
          <w:lang w:val="en-US" w:eastAsia="zh-CN"/>
        </w:rPr>
        <w:t>移动单轨小车，将最上一节标准节沿引进梁移出；</w:t>
      </w:r>
    </w:p>
    <w:p w14:paraId="62117D68">
      <w:pPr>
        <w:widowControl w:val="0"/>
        <w:rPr>
          <w:rFonts w:hint="eastAsia"/>
          <w:color w:val="000000"/>
        </w:rPr>
      </w:pPr>
      <w:r>
        <w:rPr>
          <w:rFonts w:hint="eastAsia"/>
          <w:color w:val="000000"/>
          <w:lang w:val="en-US" w:eastAsia="zh-CN"/>
        </w:rPr>
        <w:t>扳开挂靴，回缩油缸，继续下降至挂靴支承在套架横梁上并支承住上部结构后，再回缩油缸，至下一标准节与下支座相接触时为止；</w:t>
      </w:r>
    </w:p>
    <w:p w14:paraId="0ED4411E">
      <w:pPr>
        <w:widowControl w:val="0"/>
        <w:rPr>
          <w:color w:val="000000"/>
        </w:rPr>
      </w:pPr>
      <w:r>
        <w:rPr>
          <w:rFonts w:hint="eastAsia"/>
          <w:color w:val="000000"/>
          <w:lang w:val="en-US" w:eastAsia="zh-CN"/>
        </w:rPr>
        <w:t>下支座与塔身标准节之间用销轴连接好后，用小车吊钩将标准节吊至地面。</w:t>
      </w:r>
    </w:p>
    <w:p w14:paraId="342F4D5B">
      <w:pPr>
        <w:widowControl w:val="0"/>
        <w:rPr>
          <w:rFonts w:hint="default" w:eastAsia="仿宋"/>
          <w:color w:val="000000"/>
          <w:lang w:val="en-US" w:eastAsia="zh-CN"/>
        </w:rPr>
      </w:pPr>
      <w:r>
        <w:rPr>
          <w:rFonts w:hint="eastAsia"/>
          <w:color w:val="000000"/>
        </w:rPr>
        <w:t>重复上述动作，将塔身标准节依次拆下。</w:t>
      </w:r>
      <w:r>
        <w:rPr>
          <w:rFonts w:hint="eastAsia"/>
          <w:color w:val="000000"/>
          <w:lang w:val="en-US" w:eastAsia="zh-CN"/>
        </w:rPr>
        <w:t>先降5节标准节塔机自身拆除第3道附着，拆除完成后，降4节标准节塔机自身拆除第2道附着，拆除完成后，降4节标准节汽车吊拆除第1道附着，最后将塔机降至21.2m（2节加强节、1节标准节）。</w:t>
      </w:r>
    </w:p>
    <w:p w14:paraId="557C382D">
      <w:pPr>
        <w:pStyle w:val="4"/>
        <w:rPr>
          <w:color w:val="000000"/>
          <w:highlight w:val="none"/>
        </w:rPr>
      </w:pPr>
      <w:bookmarkStart w:id="57" w:name="_Toc9650"/>
      <w:r>
        <w:rPr>
          <w:rFonts w:hint="eastAsia"/>
          <w:color w:val="000000"/>
          <w:highlight w:val="none"/>
          <w:lang w:val="en-US" w:eastAsia="zh-CN"/>
        </w:rPr>
        <w:t>拆除附着</w:t>
      </w:r>
    </w:p>
    <w:p w14:paraId="32B40B90">
      <w:pPr>
        <w:ind w:firstLine="420" w:firstLineChars="0"/>
        <w:rPr>
          <w:rFonts w:hint="eastAsia"/>
          <w:lang w:val="en-US" w:eastAsia="zh-CN"/>
        </w:rPr>
      </w:pPr>
      <w:r>
        <w:rPr>
          <w:rFonts w:hint="eastAsia"/>
          <w:lang w:val="en-US" w:eastAsia="zh-CN"/>
        </w:rPr>
        <w:t>根据塔机拆除位置所处的施工现场的实际情况，该塔机是拆除在主塔墩身侧位置，可以按正常程序将塔机降至初装高度，再进行拆卸解体。但因塔机拆除高度高，拆卸附着有难度，为此第2-3道附着将塔机降节后采用塔机自身拆除；第1道附着采用100t汽车吊进行拆除。拆除第3道附着时塔高110.45m，拆除第2道附着时，塔高86.65m，拆除第1道附着时塔高62.85m。</w:t>
      </w:r>
    </w:p>
    <w:p w14:paraId="7017CCFB">
      <w:pPr>
        <w:ind w:firstLine="420" w:firstLineChars="0"/>
        <w:rPr>
          <w:rFonts w:hint="eastAsia"/>
          <w:lang w:val="en-US" w:eastAsia="zh-CN"/>
        </w:rPr>
      </w:pPr>
      <w:r>
        <w:rPr>
          <w:rFonts w:hint="eastAsia"/>
          <w:lang w:val="en-US" w:eastAsia="zh-CN"/>
        </w:rPr>
        <w:t>所有操作人员必须着安全带、防坠器并使用；在附着区域作业时需将安全带连接到防坠器、上层平台上。必须在塔机的垂直度调整好后再拆除附着装置。在拉杆上必须系上溜绳。</w:t>
      </w:r>
    </w:p>
    <w:p w14:paraId="59E0C673">
      <w:pPr>
        <w:ind w:firstLine="420" w:firstLineChars="0"/>
        <w:rPr>
          <w:rFonts w:hint="default"/>
          <w:lang w:val="en-US" w:eastAsia="zh-CN"/>
        </w:rPr>
      </w:pPr>
      <w:r>
        <w:rPr>
          <w:rFonts w:hint="eastAsia"/>
          <w:lang w:val="en-US" w:eastAsia="zh-CN"/>
        </w:rPr>
        <w:t>塔机共设置三道附着,</w:t>
      </w:r>
      <w:r>
        <w:rPr>
          <w:rFonts w:hint="eastAsia"/>
        </w:rPr>
        <w:t>附着平面布置见下图所示。</w:t>
      </w:r>
    </w:p>
    <w:p w14:paraId="57B66C0D">
      <w:pPr>
        <w:spacing w:line="240" w:lineRule="auto"/>
        <w:ind w:left="0" w:leftChars="0" w:firstLine="0" w:firstLineChars="0"/>
        <w:jc w:val="center"/>
      </w:pPr>
      <w:r>
        <w:drawing>
          <wp:inline distT="0" distB="0" distL="114300" distR="114300">
            <wp:extent cx="3810635" cy="4366260"/>
            <wp:effectExtent l="0" t="0" r="18415" b="1524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28"/>
                    <a:stretch>
                      <a:fillRect/>
                    </a:stretch>
                  </pic:blipFill>
                  <pic:spPr>
                    <a:xfrm>
                      <a:off x="0" y="0"/>
                      <a:ext cx="3810635" cy="4366260"/>
                    </a:xfrm>
                    <a:prstGeom prst="rect">
                      <a:avLst/>
                    </a:prstGeom>
                    <a:noFill/>
                    <a:ln>
                      <a:noFill/>
                    </a:ln>
                  </pic:spPr>
                </pic:pic>
              </a:graphicData>
            </a:graphic>
          </wp:inline>
        </w:drawing>
      </w:r>
    </w:p>
    <w:p w14:paraId="7AE702CA">
      <w:pPr>
        <w:pStyle w:val="12"/>
        <w:rPr>
          <w:rFonts w:hint="eastAsia" w:ascii="仿宋" w:hAnsi="仿宋" w:eastAsia="仿宋" w:cs="Times New Roman"/>
          <w:color w:val="000000"/>
          <w:lang w:val="en-US" w:eastAsia="zh-CN"/>
        </w:rPr>
      </w:pPr>
      <w:r>
        <w:rPr>
          <w:rFonts w:hint="eastAsia" w:ascii="仿宋" w:hAnsi="仿宋" w:eastAsia="仿宋"/>
          <w:color w:val="000000"/>
        </w:rPr>
        <w:t xml:space="preserve">图 </w:t>
      </w:r>
      <w:r>
        <w:rPr>
          <w:rFonts w:hint="eastAsia" w:ascii="仿宋" w:hAnsi="仿宋" w:eastAsia="仿宋"/>
          <w:color w:val="000000"/>
        </w:rPr>
        <w:fldChar w:fldCharType="begin"/>
      </w:r>
      <w:r>
        <w:rPr>
          <w:rFonts w:hint="eastAsia" w:ascii="仿宋" w:hAnsi="仿宋" w:eastAsia="仿宋"/>
          <w:color w:val="000000"/>
        </w:rPr>
        <w:instrText xml:space="preserve"> STYLEREF 2 \s </w:instrText>
      </w:r>
      <w:r>
        <w:rPr>
          <w:rFonts w:hint="eastAsia" w:ascii="仿宋" w:hAnsi="仿宋" w:eastAsia="仿宋"/>
          <w:color w:val="000000"/>
        </w:rPr>
        <w:fldChar w:fldCharType="separate"/>
      </w:r>
      <w:r>
        <w:rPr>
          <w:rFonts w:hint="eastAsia" w:ascii="仿宋" w:hAnsi="仿宋" w:eastAsia="仿宋"/>
          <w:color w:val="000000"/>
        </w:rPr>
        <w:t>5.2</w:t>
      </w:r>
      <w:r>
        <w:rPr>
          <w:rFonts w:hint="eastAsia" w:ascii="仿宋" w:hAnsi="仿宋" w:eastAsia="仿宋"/>
          <w:color w:val="000000"/>
        </w:rPr>
        <w:fldChar w:fldCharType="end"/>
      </w:r>
      <w:r>
        <w:rPr>
          <w:rFonts w:hint="eastAsia" w:ascii="仿宋" w:hAnsi="仿宋" w:eastAsia="仿宋"/>
          <w:color w:val="000000"/>
        </w:rPr>
        <w:t>-</w:t>
      </w:r>
      <w:r>
        <w:rPr>
          <w:rFonts w:hint="eastAsia" w:ascii="仿宋" w:hAnsi="仿宋" w:eastAsia="仿宋"/>
          <w:color w:val="000000"/>
        </w:rPr>
        <w:fldChar w:fldCharType="begin"/>
      </w:r>
      <w:r>
        <w:rPr>
          <w:rFonts w:hint="eastAsia" w:ascii="仿宋" w:hAnsi="仿宋" w:eastAsia="仿宋"/>
          <w:color w:val="000000"/>
        </w:rPr>
        <w:instrText xml:space="preserve"> SEQ 图 \* ARABIC \s 2 </w:instrText>
      </w:r>
      <w:r>
        <w:rPr>
          <w:rFonts w:hint="eastAsia" w:ascii="仿宋" w:hAnsi="仿宋" w:eastAsia="仿宋"/>
          <w:color w:val="000000"/>
        </w:rPr>
        <w:fldChar w:fldCharType="separate"/>
      </w:r>
      <w:r>
        <w:rPr>
          <w:rFonts w:hint="eastAsia" w:ascii="仿宋" w:hAnsi="仿宋" w:eastAsia="仿宋"/>
          <w:color w:val="000000"/>
        </w:rPr>
        <w:t>2</w:t>
      </w:r>
      <w:r>
        <w:rPr>
          <w:rFonts w:hint="eastAsia" w:ascii="仿宋" w:hAnsi="仿宋" w:eastAsia="仿宋"/>
          <w:color w:val="000000"/>
        </w:rPr>
        <w:fldChar w:fldCharType="end"/>
      </w:r>
      <w:r>
        <w:rPr>
          <w:rFonts w:hint="eastAsia" w:ascii="仿宋" w:hAnsi="仿宋" w:eastAsia="仿宋" w:cs="Times New Roman"/>
          <w:color w:val="000000"/>
          <w:lang w:val="en-US" w:eastAsia="zh-CN"/>
        </w:rPr>
        <w:t>塔机第一道附着平面图</w:t>
      </w:r>
    </w:p>
    <w:p w14:paraId="171AB162">
      <w:pPr>
        <w:spacing w:line="240" w:lineRule="auto"/>
        <w:ind w:left="0" w:leftChars="0" w:firstLine="0" w:firstLineChars="0"/>
        <w:jc w:val="center"/>
      </w:pPr>
      <w:r>
        <w:drawing>
          <wp:inline distT="0" distB="0" distL="114300" distR="114300">
            <wp:extent cx="3608705" cy="4403090"/>
            <wp:effectExtent l="0" t="0" r="10795" b="16510"/>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29"/>
                    <a:stretch>
                      <a:fillRect/>
                    </a:stretch>
                  </pic:blipFill>
                  <pic:spPr>
                    <a:xfrm>
                      <a:off x="0" y="0"/>
                      <a:ext cx="3608705" cy="4403090"/>
                    </a:xfrm>
                    <a:prstGeom prst="rect">
                      <a:avLst/>
                    </a:prstGeom>
                    <a:noFill/>
                    <a:ln>
                      <a:noFill/>
                    </a:ln>
                  </pic:spPr>
                </pic:pic>
              </a:graphicData>
            </a:graphic>
          </wp:inline>
        </w:drawing>
      </w:r>
    </w:p>
    <w:p w14:paraId="7E543976">
      <w:pPr>
        <w:pStyle w:val="12"/>
        <w:jc w:val="center"/>
        <w:rPr>
          <w:rFonts w:hint="eastAsia" w:ascii="仿宋" w:hAnsi="仿宋" w:eastAsia="仿宋" w:cs="Times New Roman"/>
          <w:color w:val="000000"/>
          <w:lang w:val="en-US" w:eastAsia="zh-CN"/>
        </w:rPr>
      </w:pPr>
      <w:r>
        <w:rPr>
          <w:rFonts w:hint="eastAsia" w:ascii="仿宋" w:hAnsi="仿宋" w:eastAsia="仿宋"/>
          <w:color w:val="000000"/>
        </w:rPr>
        <w:t xml:space="preserve">图 </w:t>
      </w:r>
      <w:r>
        <w:rPr>
          <w:rFonts w:hint="eastAsia" w:ascii="仿宋" w:hAnsi="仿宋" w:eastAsia="仿宋"/>
          <w:color w:val="000000"/>
        </w:rPr>
        <w:fldChar w:fldCharType="begin"/>
      </w:r>
      <w:r>
        <w:rPr>
          <w:rFonts w:hint="eastAsia" w:ascii="仿宋" w:hAnsi="仿宋" w:eastAsia="仿宋"/>
          <w:color w:val="000000"/>
        </w:rPr>
        <w:instrText xml:space="preserve"> STYLEREF 2 \s </w:instrText>
      </w:r>
      <w:r>
        <w:rPr>
          <w:rFonts w:hint="eastAsia" w:ascii="仿宋" w:hAnsi="仿宋" w:eastAsia="仿宋"/>
          <w:color w:val="000000"/>
        </w:rPr>
        <w:fldChar w:fldCharType="separate"/>
      </w:r>
      <w:r>
        <w:rPr>
          <w:rFonts w:hint="eastAsia" w:ascii="仿宋" w:hAnsi="仿宋" w:eastAsia="仿宋"/>
          <w:color w:val="000000"/>
        </w:rPr>
        <w:t>5.2</w:t>
      </w:r>
      <w:r>
        <w:rPr>
          <w:rFonts w:hint="eastAsia" w:ascii="仿宋" w:hAnsi="仿宋" w:eastAsia="仿宋"/>
          <w:color w:val="000000"/>
        </w:rPr>
        <w:fldChar w:fldCharType="end"/>
      </w:r>
      <w:r>
        <w:rPr>
          <w:rFonts w:hint="eastAsia" w:ascii="仿宋" w:hAnsi="仿宋" w:eastAsia="仿宋"/>
          <w:color w:val="000000"/>
        </w:rPr>
        <w:t>-</w:t>
      </w:r>
      <w:r>
        <w:rPr>
          <w:rFonts w:hint="eastAsia" w:ascii="仿宋" w:hAnsi="仿宋" w:eastAsia="仿宋"/>
          <w:color w:val="000000"/>
        </w:rPr>
        <w:fldChar w:fldCharType="begin"/>
      </w:r>
      <w:r>
        <w:rPr>
          <w:rFonts w:hint="eastAsia" w:ascii="仿宋" w:hAnsi="仿宋" w:eastAsia="仿宋"/>
          <w:color w:val="000000"/>
        </w:rPr>
        <w:instrText xml:space="preserve"> SEQ 图 \* ARABIC \s 2 </w:instrText>
      </w:r>
      <w:r>
        <w:rPr>
          <w:rFonts w:hint="eastAsia" w:ascii="仿宋" w:hAnsi="仿宋" w:eastAsia="仿宋"/>
          <w:color w:val="000000"/>
        </w:rPr>
        <w:fldChar w:fldCharType="separate"/>
      </w:r>
      <w:r>
        <w:rPr>
          <w:rFonts w:hint="eastAsia" w:ascii="仿宋" w:hAnsi="仿宋" w:eastAsia="仿宋"/>
          <w:color w:val="000000"/>
        </w:rPr>
        <w:t>3</w:t>
      </w:r>
      <w:r>
        <w:rPr>
          <w:rFonts w:hint="eastAsia" w:ascii="仿宋" w:hAnsi="仿宋" w:eastAsia="仿宋"/>
          <w:color w:val="000000"/>
        </w:rPr>
        <w:fldChar w:fldCharType="end"/>
      </w:r>
      <w:r>
        <w:rPr>
          <w:rFonts w:hint="eastAsia" w:ascii="仿宋" w:hAnsi="仿宋" w:eastAsia="仿宋" w:cs="Times New Roman"/>
          <w:color w:val="000000"/>
          <w:lang w:val="en-US" w:eastAsia="zh-CN"/>
        </w:rPr>
        <w:t>塔机第二道附着平面图</w:t>
      </w:r>
    </w:p>
    <w:p w14:paraId="0800D01B">
      <w:pPr>
        <w:spacing w:line="240" w:lineRule="auto"/>
        <w:ind w:left="0" w:leftChars="0" w:firstLine="0" w:firstLineChars="0"/>
        <w:jc w:val="center"/>
      </w:pPr>
      <w:r>
        <w:drawing>
          <wp:inline distT="0" distB="0" distL="114300" distR="114300">
            <wp:extent cx="3809365" cy="3681095"/>
            <wp:effectExtent l="0" t="0" r="635" b="14605"/>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30"/>
                    <a:stretch>
                      <a:fillRect/>
                    </a:stretch>
                  </pic:blipFill>
                  <pic:spPr>
                    <a:xfrm>
                      <a:off x="0" y="0"/>
                      <a:ext cx="3809365" cy="3681095"/>
                    </a:xfrm>
                    <a:prstGeom prst="rect">
                      <a:avLst/>
                    </a:prstGeom>
                    <a:noFill/>
                    <a:ln>
                      <a:noFill/>
                    </a:ln>
                  </pic:spPr>
                </pic:pic>
              </a:graphicData>
            </a:graphic>
          </wp:inline>
        </w:drawing>
      </w:r>
    </w:p>
    <w:p w14:paraId="1DF51C07">
      <w:pPr>
        <w:pStyle w:val="12"/>
        <w:jc w:val="center"/>
        <w:rPr>
          <w:rFonts w:hint="default"/>
          <w:lang w:val="en-US" w:eastAsia="zh-CN"/>
        </w:rPr>
      </w:pPr>
      <w:r>
        <w:rPr>
          <w:rFonts w:hint="eastAsia" w:ascii="仿宋" w:hAnsi="仿宋" w:eastAsia="仿宋"/>
          <w:color w:val="000000"/>
        </w:rPr>
        <w:t xml:space="preserve">图 </w:t>
      </w:r>
      <w:r>
        <w:rPr>
          <w:rFonts w:hint="eastAsia" w:ascii="仿宋" w:hAnsi="仿宋" w:eastAsia="仿宋"/>
          <w:color w:val="000000"/>
        </w:rPr>
        <w:fldChar w:fldCharType="begin"/>
      </w:r>
      <w:r>
        <w:rPr>
          <w:rFonts w:hint="eastAsia" w:ascii="仿宋" w:hAnsi="仿宋" w:eastAsia="仿宋"/>
          <w:color w:val="000000"/>
        </w:rPr>
        <w:instrText xml:space="preserve"> STYLEREF 2 \s </w:instrText>
      </w:r>
      <w:r>
        <w:rPr>
          <w:rFonts w:hint="eastAsia" w:ascii="仿宋" w:hAnsi="仿宋" w:eastAsia="仿宋"/>
          <w:color w:val="000000"/>
        </w:rPr>
        <w:fldChar w:fldCharType="separate"/>
      </w:r>
      <w:r>
        <w:rPr>
          <w:rFonts w:hint="eastAsia" w:ascii="仿宋" w:hAnsi="仿宋" w:eastAsia="仿宋"/>
          <w:color w:val="000000"/>
        </w:rPr>
        <w:t>5.2</w:t>
      </w:r>
      <w:r>
        <w:rPr>
          <w:rFonts w:hint="eastAsia" w:ascii="仿宋" w:hAnsi="仿宋" w:eastAsia="仿宋"/>
          <w:color w:val="000000"/>
        </w:rPr>
        <w:fldChar w:fldCharType="end"/>
      </w:r>
      <w:r>
        <w:rPr>
          <w:rFonts w:hint="eastAsia" w:ascii="仿宋" w:hAnsi="仿宋" w:eastAsia="仿宋"/>
          <w:color w:val="000000"/>
        </w:rPr>
        <w:t>-</w:t>
      </w:r>
      <w:r>
        <w:rPr>
          <w:rFonts w:hint="eastAsia" w:ascii="仿宋" w:hAnsi="仿宋" w:eastAsia="仿宋"/>
          <w:color w:val="000000"/>
        </w:rPr>
        <w:fldChar w:fldCharType="begin"/>
      </w:r>
      <w:r>
        <w:rPr>
          <w:rFonts w:hint="eastAsia" w:ascii="仿宋" w:hAnsi="仿宋" w:eastAsia="仿宋"/>
          <w:color w:val="000000"/>
        </w:rPr>
        <w:instrText xml:space="preserve"> SEQ 图 \* ARABIC \s 2 </w:instrText>
      </w:r>
      <w:r>
        <w:rPr>
          <w:rFonts w:hint="eastAsia" w:ascii="仿宋" w:hAnsi="仿宋" w:eastAsia="仿宋"/>
          <w:color w:val="000000"/>
        </w:rPr>
        <w:fldChar w:fldCharType="separate"/>
      </w:r>
      <w:r>
        <w:rPr>
          <w:rFonts w:hint="eastAsia" w:ascii="仿宋" w:hAnsi="仿宋" w:eastAsia="仿宋"/>
          <w:color w:val="000000"/>
        </w:rPr>
        <w:t>4</w:t>
      </w:r>
      <w:r>
        <w:rPr>
          <w:rFonts w:hint="eastAsia" w:ascii="仿宋" w:hAnsi="仿宋" w:eastAsia="仿宋"/>
          <w:color w:val="000000"/>
        </w:rPr>
        <w:fldChar w:fldCharType="end"/>
      </w:r>
      <w:r>
        <w:rPr>
          <w:rFonts w:hint="eastAsia" w:ascii="仿宋" w:hAnsi="仿宋" w:eastAsia="仿宋" w:cs="Times New Roman"/>
          <w:color w:val="000000"/>
          <w:lang w:val="en-US" w:eastAsia="zh-CN"/>
        </w:rPr>
        <w:t>塔机第三道附着平面图</w:t>
      </w:r>
    </w:p>
    <w:p w14:paraId="3AFE2FB1">
      <w:pPr>
        <w:spacing w:line="240" w:lineRule="auto"/>
        <w:jc w:val="center"/>
      </w:pPr>
      <w:r>
        <w:drawing>
          <wp:inline distT="0" distB="0" distL="114300" distR="114300">
            <wp:extent cx="3998595" cy="6624320"/>
            <wp:effectExtent l="0" t="0" r="1905" b="5080"/>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1"/>
                    </pic:cNvPicPr>
                  </pic:nvPicPr>
                  <pic:blipFill>
                    <a:blip r:embed="rId14"/>
                    <a:stretch>
                      <a:fillRect/>
                    </a:stretch>
                  </pic:blipFill>
                  <pic:spPr>
                    <a:xfrm>
                      <a:off x="0" y="0"/>
                      <a:ext cx="3998595" cy="6624320"/>
                    </a:xfrm>
                    <a:prstGeom prst="rect">
                      <a:avLst/>
                    </a:prstGeom>
                    <a:noFill/>
                    <a:ln>
                      <a:noFill/>
                    </a:ln>
                  </pic:spPr>
                </pic:pic>
              </a:graphicData>
            </a:graphic>
          </wp:inline>
        </w:drawing>
      </w:r>
    </w:p>
    <w:p w14:paraId="671A5E12">
      <w:pPr>
        <w:pStyle w:val="12"/>
        <w:jc w:val="center"/>
        <w:rPr>
          <w:rFonts w:hint="eastAsia" w:ascii="仿宋" w:hAnsi="仿宋" w:eastAsia="仿宋" w:cs="Times New Roman"/>
          <w:color w:val="000000"/>
          <w:lang w:val="en-US" w:eastAsia="zh-CN"/>
        </w:rPr>
      </w:pPr>
      <w:r>
        <w:rPr>
          <w:rFonts w:hint="eastAsia" w:ascii="仿宋" w:hAnsi="仿宋" w:eastAsia="仿宋"/>
          <w:color w:val="000000"/>
        </w:rPr>
        <w:t xml:space="preserve">图 </w:t>
      </w:r>
      <w:r>
        <w:rPr>
          <w:rFonts w:hint="eastAsia" w:ascii="仿宋" w:hAnsi="仿宋" w:eastAsia="仿宋"/>
          <w:color w:val="000000"/>
        </w:rPr>
        <w:fldChar w:fldCharType="begin"/>
      </w:r>
      <w:r>
        <w:rPr>
          <w:rFonts w:hint="eastAsia" w:ascii="仿宋" w:hAnsi="仿宋" w:eastAsia="仿宋"/>
          <w:color w:val="000000"/>
        </w:rPr>
        <w:instrText xml:space="preserve"> STYLEREF 2 \s </w:instrText>
      </w:r>
      <w:r>
        <w:rPr>
          <w:rFonts w:hint="eastAsia" w:ascii="仿宋" w:hAnsi="仿宋" w:eastAsia="仿宋"/>
          <w:color w:val="000000"/>
        </w:rPr>
        <w:fldChar w:fldCharType="separate"/>
      </w:r>
      <w:r>
        <w:rPr>
          <w:rFonts w:hint="eastAsia" w:ascii="仿宋" w:hAnsi="仿宋" w:eastAsia="仿宋"/>
          <w:color w:val="000000"/>
        </w:rPr>
        <w:t>5.2</w:t>
      </w:r>
      <w:r>
        <w:rPr>
          <w:rFonts w:hint="eastAsia" w:ascii="仿宋" w:hAnsi="仿宋" w:eastAsia="仿宋"/>
          <w:color w:val="000000"/>
        </w:rPr>
        <w:fldChar w:fldCharType="end"/>
      </w:r>
      <w:r>
        <w:rPr>
          <w:rFonts w:hint="eastAsia" w:ascii="仿宋" w:hAnsi="仿宋" w:eastAsia="仿宋"/>
          <w:color w:val="000000"/>
        </w:rPr>
        <w:t>-</w:t>
      </w:r>
      <w:r>
        <w:rPr>
          <w:rFonts w:hint="eastAsia" w:ascii="仿宋" w:hAnsi="仿宋" w:eastAsia="仿宋"/>
          <w:color w:val="000000"/>
        </w:rPr>
        <w:fldChar w:fldCharType="begin"/>
      </w:r>
      <w:r>
        <w:rPr>
          <w:rFonts w:hint="eastAsia" w:ascii="仿宋" w:hAnsi="仿宋" w:eastAsia="仿宋"/>
          <w:color w:val="000000"/>
        </w:rPr>
        <w:instrText xml:space="preserve"> SEQ 图 \* ARABIC \s 2 </w:instrText>
      </w:r>
      <w:r>
        <w:rPr>
          <w:rFonts w:hint="eastAsia" w:ascii="仿宋" w:hAnsi="仿宋" w:eastAsia="仿宋"/>
          <w:color w:val="000000"/>
        </w:rPr>
        <w:fldChar w:fldCharType="separate"/>
      </w:r>
      <w:r>
        <w:rPr>
          <w:rFonts w:hint="eastAsia" w:ascii="仿宋" w:hAnsi="仿宋" w:eastAsia="仿宋"/>
          <w:color w:val="000000"/>
        </w:rPr>
        <w:t>5</w:t>
      </w:r>
      <w:r>
        <w:rPr>
          <w:rFonts w:hint="eastAsia" w:ascii="仿宋" w:hAnsi="仿宋" w:eastAsia="仿宋"/>
          <w:color w:val="000000"/>
        </w:rPr>
        <w:fldChar w:fldCharType="end"/>
      </w:r>
      <w:r>
        <w:rPr>
          <w:rFonts w:hint="eastAsia" w:ascii="仿宋" w:hAnsi="仿宋" w:eastAsia="仿宋" w:cs="Times New Roman"/>
          <w:color w:val="000000"/>
          <w:lang w:val="en-US" w:eastAsia="zh-CN"/>
        </w:rPr>
        <w:t>塔机附着立面图</w:t>
      </w:r>
    </w:p>
    <w:p w14:paraId="0BC0854E">
      <w:pPr>
        <w:widowControl w:val="0"/>
        <w:rPr>
          <w:rFonts w:hint="eastAsia"/>
          <w:color w:val="000000"/>
          <w:lang w:val="en-US" w:eastAsia="zh-CN"/>
        </w:rPr>
      </w:pPr>
      <w:r>
        <w:rPr>
          <w:rFonts w:hint="eastAsia"/>
          <w:color w:val="000000"/>
          <w:lang w:val="en-US" w:eastAsia="zh-CN"/>
        </w:rPr>
        <w:t>按照塔机升塔时大臂的方向，将塔机降节至需拆除附着装置上方。</w:t>
      </w:r>
    </w:p>
    <w:p w14:paraId="76C55B8E">
      <w:pPr>
        <w:widowControl w:val="0"/>
        <w:rPr>
          <w:rFonts w:hint="eastAsia"/>
          <w:color w:val="000000"/>
          <w:lang w:val="en-US" w:eastAsia="zh-CN"/>
        </w:rPr>
      </w:pPr>
      <w:r>
        <w:rPr>
          <w:rFonts w:hint="eastAsia"/>
          <w:color w:val="000000"/>
          <w:lang w:val="en-US" w:eastAsia="zh-CN"/>
        </w:rPr>
        <w:t>作业人员先上到主塔墩身侧附着拆除位置，拆除附着时，作业人员安全绳挂在上方操作平台上，防坠器挂在塔机标准节上，作业人员将安全带与防坠器系牢固。先拆除起重臂侧的附着杆及牛腿，作业人员沿附着走到墩身侧，再到墩身侧附着拆除位置进行拆除。拆除牛腿时，作业人员沿平衡臂侧附着走到墩身侧附着作业平台，再通过作业平台走到牛腿拆除位置进行拆除作业。</w:t>
      </w:r>
    </w:p>
    <w:p w14:paraId="52F7CCF1">
      <w:pPr>
        <w:widowControl w:val="0"/>
        <w:rPr>
          <w:rFonts w:hint="eastAsia"/>
          <w:color w:val="000000"/>
          <w:lang w:val="en-US" w:eastAsia="zh-CN"/>
        </w:rPr>
      </w:pPr>
      <w:r>
        <w:rPr>
          <w:rFonts w:hint="eastAsia"/>
          <w:color w:val="000000"/>
          <w:lang w:val="en-US" w:eastAsia="zh-CN"/>
        </w:rPr>
        <w:t>作业人员从塔机底层，通过爬梯爬到附着框位置，将安全带系挂在塔身防坠器上。</w:t>
      </w:r>
    </w:p>
    <w:p w14:paraId="5A3D4FA9">
      <w:pPr>
        <w:widowControl w:val="0"/>
        <w:rPr>
          <w:rFonts w:hint="eastAsia"/>
          <w:color w:val="000000"/>
          <w:lang w:val="en-US" w:eastAsia="zh-CN"/>
        </w:rPr>
      </w:pPr>
      <w:r>
        <w:rPr>
          <w:rFonts w:hint="eastAsia"/>
          <w:color w:val="000000"/>
          <w:lang w:val="en-US" w:eastAsia="zh-CN"/>
        </w:rPr>
        <w:t>墩身侧作业人员先将吊装钢丝绳一端的卸扣与附着杆吊点连接，绑好溜绳后拆除靠墩身侧拉杆与支座连接销轴或支座连接螺栓，慢慢开动塔机吊钩将拉杆滑开不与墩身侧支座耳板连接，附着杆转动到合适位置后拆除拉杆与附着框连接销轴，操作牵引绳，启动塔机吊钩使附着杆件滑出附着框耳座，然后启动塔机吊钩，一人拉紧溜绳防止与墩身摩擦碰撞直至将附着杆件缓慢起吊下放至地面指定位置。重复以上步骤，拆除全部附着杆件。</w:t>
      </w:r>
    </w:p>
    <w:p w14:paraId="121B8669">
      <w:pPr>
        <w:widowControl w:val="0"/>
        <w:rPr>
          <w:rFonts w:hint="eastAsia"/>
          <w:color w:val="000000"/>
          <w:lang w:val="en-US" w:eastAsia="zh-CN"/>
        </w:rPr>
      </w:pPr>
      <w:r>
        <w:rPr>
          <w:rFonts w:hint="eastAsia"/>
          <w:color w:val="000000"/>
          <w:lang w:val="en-US" w:eastAsia="zh-CN"/>
        </w:rPr>
        <w:t>拆除牛腿时，塔机使用三点吊固定牛腿，另连接一根溜绳，作业人员分别将塔机吊装钢丝绳一端的卸扣与牛腿吊点连接，主塔墩身侧人员沿平衡臂侧附着杆到附着作业平台，再通过作业平台走至牛腿附近，待拆除牛腿的连接后，墩身侧人员拆除牛腿总成与墩身的固定销轴，启动塔机吊钩，同时塔机侧操作人员可牵引溜绳调整牛腿总成姿态，然后将牛腿总成缓慢吊起放置地面指定位置。。</w:t>
      </w:r>
    </w:p>
    <w:p w14:paraId="5F644545">
      <w:pPr>
        <w:widowControl w:val="0"/>
        <w:rPr>
          <w:rFonts w:hint="eastAsia" w:ascii="宋体" w:hAnsi="宋体" w:eastAsia="宋体" w:cs="宋体"/>
          <w:color w:val="auto"/>
          <w:lang w:val="en-US" w:eastAsia="zh-CN"/>
        </w:rPr>
      </w:pPr>
      <w:r>
        <w:rPr>
          <w:rFonts w:hint="eastAsia"/>
          <w:color w:val="000000"/>
          <w:lang w:val="en-US" w:eastAsia="zh-CN"/>
        </w:rPr>
        <w:t>按相同方法拆除剩余附着，拆除完成后作业人员通过塔身内爬梯下到地面。</w:t>
      </w:r>
    </w:p>
    <w:p w14:paraId="4D2F95F2">
      <w:pPr>
        <w:spacing w:line="240" w:lineRule="auto"/>
        <w:ind w:left="0" w:leftChars="0" w:firstLine="0" w:firstLineChars="0"/>
        <w:jc w:val="center"/>
        <w:rPr>
          <w:rFonts w:hint="eastAsia"/>
          <w:lang w:val="en-US" w:eastAsia="zh-CN"/>
        </w:rPr>
      </w:pPr>
      <w:r>
        <w:rPr>
          <w:rFonts w:hint="eastAsia"/>
          <w:lang w:val="en-US" w:eastAsia="zh-CN"/>
        </w:rPr>
        <w:drawing>
          <wp:inline distT="0" distB="0" distL="114300" distR="114300">
            <wp:extent cx="5935980" cy="4887595"/>
            <wp:effectExtent l="0" t="0" r="7620" b="8255"/>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31"/>
                    <a:stretch>
                      <a:fillRect/>
                    </a:stretch>
                  </pic:blipFill>
                  <pic:spPr>
                    <a:xfrm>
                      <a:off x="0" y="0"/>
                      <a:ext cx="5935980" cy="4887595"/>
                    </a:xfrm>
                    <a:prstGeom prst="rect">
                      <a:avLst/>
                    </a:prstGeom>
                    <a:noFill/>
                    <a:ln>
                      <a:noFill/>
                    </a:ln>
                  </pic:spPr>
                </pic:pic>
              </a:graphicData>
            </a:graphic>
          </wp:inline>
        </w:drawing>
      </w:r>
    </w:p>
    <w:p w14:paraId="4460DB80">
      <w:pPr>
        <w:pStyle w:val="12"/>
        <w:jc w:val="center"/>
        <w:rPr>
          <w:rFonts w:hint="eastAsia" w:ascii="仿宋" w:hAnsi="仿宋" w:eastAsia="仿宋" w:cs="Times New Roman"/>
          <w:color w:val="000000"/>
          <w:lang w:val="en-US" w:eastAsia="zh-CN"/>
        </w:rPr>
      </w:pPr>
      <w:r>
        <w:rPr>
          <w:rFonts w:hint="eastAsia" w:ascii="仿宋" w:hAnsi="仿宋" w:eastAsia="仿宋" w:cs="Times New Roman"/>
          <w:color w:val="000000"/>
        </w:rPr>
        <w:t xml:space="preserve">图 </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STYLEREF 2 \s </w:instrText>
      </w:r>
      <w:r>
        <w:rPr>
          <w:rFonts w:hint="eastAsia" w:ascii="仿宋" w:hAnsi="仿宋" w:eastAsia="仿宋" w:cs="Times New Roman"/>
          <w:color w:val="000000"/>
        </w:rPr>
        <w:fldChar w:fldCharType="separate"/>
      </w:r>
      <w:r>
        <w:rPr>
          <w:rFonts w:hint="eastAsia" w:ascii="仿宋" w:hAnsi="仿宋" w:eastAsia="仿宋" w:cs="Times New Roman"/>
          <w:color w:val="000000"/>
        </w:rPr>
        <w:t>5.2</w:t>
      </w:r>
      <w:r>
        <w:rPr>
          <w:rFonts w:hint="eastAsia" w:ascii="仿宋" w:hAnsi="仿宋" w:eastAsia="仿宋" w:cs="Times New Roman"/>
          <w:color w:val="000000"/>
        </w:rPr>
        <w:fldChar w:fldCharType="end"/>
      </w:r>
      <w:r>
        <w:rPr>
          <w:rFonts w:hint="eastAsia" w:ascii="仿宋" w:hAnsi="仿宋" w:eastAsia="仿宋" w:cs="Times New Roman"/>
          <w:color w:val="000000"/>
        </w:rPr>
        <w:t>-</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SEQ 图 \* ARABIC \s 2 </w:instrText>
      </w:r>
      <w:r>
        <w:rPr>
          <w:rFonts w:hint="eastAsia" w:ascii="仿宋" w:hAnsi="仿宋" w:eastAsia="仿宋" w:cs="Times New Roman"/>
          <w:color w:val="000000"/>
        </w:rPr>
        <w:fldChar w:fldCharType="separate"/>
      </w:r>
      <w:r>
        <w:rPr>
          <w:rFonts w:hint="eastAsia" w:ascii="仿宋" w:hAnsi="仿宋" w:eastAsia="仿宋" w:cs="Times New Roman"/>
          <w:color w:val="000000"/>
        </w:rPr>
        <w:t>6</w:t>
      </w:r>
      <w:r>
        <w:rPr>
          <w:rFonts w:hint="eastAsia" w:ascii="仿宋" w:hAnsi="仿宋" w:eastAsia="仿宋" w:cs="Times New Roman"/>
          <w:color w:val="000000"/>
        </w:rPr>
        <w:fldChar w:fldCharType="end"/>
      </w:r>
      <w:r>
        <w:rPr>
          <w:rFonts w:hint="eastAsia" w:ascii="仿宋" w:hAnsi="仿宋" w:eastAsia="仿宋" w:cs="Times New Roman"/>
          <w:color w:val="000000"/>
          <w:lang w:val="en-US" w:eastAsia="zh-CN"/>
        </w:rPr>
        <w:t>第3道附着第1根附着杆拆除示意图</w:t>
      </w:r>
    </w:p>
    <w:p w14:paraId="44973E4A">
      <w:pPr>
        <w:spacing w:line="240" w:lineRule="auto"/>
        <w:ind w:left="0" w:leftChars="0" w:firstLine="0" w:firstLineChars="0"/>
        <w:jc w:val="center"/>
      </w:pPr>
      <w:r>
        <w:drawing>
          <wp:inline distT="0" distB="0" distL="114300" distR="114300">
            <wp:extent cx="4957445" cy="4065905"/>
            <wp:effectExtent l="0" t="0" r="14605" b="10795"/>
            <wp:docPr id="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2"/>
                    <pic:cNvPicPr>
                      <a:picLocks noChangeAspect="1"/>
                    </pic:cNvPicPr>
                  </pic:nvPicPr>
                  <pic:blipFill>
                    <a:blip r:embed="rId32"/>
                    <a:stretch>
                      <a:fillRect/>
                    </a:stretch>
                  </pic:blipFill>
                  <pic:spPr>
                    <a:xfrm>
                      <a:off x="0" y="0"/>
                      <a:ext cx="4957445" cy="4065905"/>
                    </a:xfrm>
                    <a:prstGeom prst="rect">
                      <a:avLst/>
                    </a:prstGeom>
                    <a:noFill/>
                    <a:ln>
                      <a:noFill/>
                    </a:ln>
                  </pic:spPr>
                </pic:pic>
              </a:graphicData>
            </a:graphic>
          </wp:inline>
        </w:drawing>
      </w:r>
    </w:p>
    <w:p w14:paraId="6576F016">
      <w:pPr>
        <w:pStyle w:val="12"/>
        <w:jc w:val="center"/>
        <w:rPr>
          <w:rFonts w:hint="eastAsia" w:ascii="仿宋" w:hAnsi="仿宋" w:eastAsia="仿宋" w:cs="Times New Roman"/>
          <w:color w:val="000000"/>
          <w:lang w:val="en-US" w:eastAsia="zh-CN"/>
        </w:rPr>
      </w:pPr>
      <w:r>
        <w:rPr>
          <w:rFonts w:hint="eastAsia" w:ascii="仿宋" w:hAnsi="仿宋" w:eastAsia="仿宋" w:cs="Times New Roman"/>
          <w:color w:val="000000"/>
        </w:rPr>
        <w:t xml:space="preserve">图 </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STYLEREF 2 \s </w:instrText>
      </w:r>
      <w:r>
        <w:rPr>
          <w:rFonts w:hint="eastAsia" w:ascii="仿宋" w:hAnsi="仿宋" w:eastAsia="仿宋" w:cs="Times New Roman"/>
          <w:color w:val="000000"/>
        </w:rPr>
        <w:fldChar w:fldCharType="separate"/>
      </w:r>
      <w:r>
        <w:rPr>
          <w:rFonts w:hint="eastAsia" w:ascii="仿宋" w:hAnsi="仿宋" w:eastAsia="仿宋" w:cs="Times New Roman"/>
          <w:color w:val="000000"/>
        </w:rPr>
        <w:t>5.2</w:t>
      </w:r>
      <w:r>
        <w:rPr>
          <w:rFonts w:hint="eastAsia" w:ascii="仿宋" w:hAnsi="仿宋" w:eastAsia="仿宋" w:cs="Times New Roman"/>
          <w:color w:val="000000"/>
        </w:rPr>
        <w:fldChar w:fldCharType="end"/>
      </w:r>
      <w:r>
        <w:rPr>
          <w:rFonts w:hint="eastAsia" w:ascii="仿宋" w:hAnsi="仿宋" w:eastAsia="仿宋" w:cs="Times New Roman"/>
          <w:color w:val="000000"/>
        </w:rPr>
        <w:t>-</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SEQ 图 \* ARABIC \s 2 </w:instrText>
      </w:r>
      <w:r>
        <w:rPr>
          <w:rFonts w:hint="eastAsia" w:ascii="仿宋" w:hAnsi="仿宋" w:eastAsia="仿宋" w:cs="Times New Roman"/>
          <w:color w:val="000000"/>
        </w:rPr>
        <w:fldChar w:fldCharType="separate"/>
      </w:r>
      <w:r>
        <w:rPr>
          <w:rFonts w:hint="eastAsia" w:ascii="仿宋" w:hAnsi="仿宋" w:eastAsia="仿宋" w:cs="Times New Roman"/>
          <w:color w:val="000000"/>
        </w:rPr>
        <w:t>7</w:t>
      </w:r>
      <w:r>
        <w:rPr>
          <w:rFonts w:hint="eastAsia" w:ascii="仿宋" w:hAnsi="仿宋" w:eastAsia="仿宋" w:cs="Times New Roman"/>
          <w:color w:val="000000"/>
        </w:rPr>
        <w:fldChar w:fldCharType="end"/>
      </w:r>
      <w:r>
        <w:rPr>
          <w:rFonts w:hint="eastAsia" w:ascii="仿宋" w:hAnsi="仿宋" w:eastAsia="仿宋" w:cs="Times New Roman"/>
          <w:color w:val="000000"/>
          <w:lang w:val="en-US" w:eastAsia="zh-CN"/>
        </w:rPr>
        <w:t>第3道附着第2根附着杆拆除示意图</w:t>
      </w:r>
    </w:p>
    <w:p w14:paraId="1CEF95C5">
      <w:pPr>
        <w:spacing w:line="240" w:lineRule="auto"/>
        <w:ind w:left="0" w:leftChars="0" w:firstLine="0" w:firstLineChars="0"/>
        <w:jc w:val="center"/>
      </w:pPr>
      <w:r>
        <w:drawing>
          <wp:inline distT="0" distB="0" distL="114300" distR="114300">
            <wp:extent cx="4366260" cy="4291965"/>
            <wp:effectExtent l="0" t="0" r="15240" b="13335"/>
            <wp:docPr id="2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pic:cNvPicPr>
                      <a:picLocks noChangeAspect="1"/>
                    </pic:cNvPicPr>
                  </pic:nvPicPr>
                  <pic:blipFill>
                    <a:blip r:embed="rId33"/>
                    <a:stretch>
                      <a:fillRect/>
                    </a:stretch>
                  </pic:blipFill>
                  <pic:spPr>
                    <a:xfrm>
                      <a:off x="0" y="0"/>
                      <a:ext cx="4366260" cy="4291965"/>
                    </a:xfrm>
                    <a:prstGeom prst="rect">
                      <a:avLst/>
                    </a:prstGeom>
                    <a:noFill/>
                    <a:ln>
                      <a:noFill/>
                    </a:ln>
                  </pic:spPr>
                </pic:pic>
              </a:graphicData>
            </a:graphic>
          </wp:inline>
        </w:drawing>
      </w:r>
    </w:p>
    <w:p w14:paraId="26A960EF">
      <w:pPr>
        <w:pStyle w:val="12"/>
        <w:jc w:val="center"/>
        <w:rPr>
          <w:rFonts w:hint="eastAsia" w:ascii="仿宋" w:hAnsi="仿宋" w:eastAsia="仿宋" w:cs="Times New Roman"/>
          <w:color w:val="000000"/>
          <w:lang w:val="en-US" w:eastAsia="zh-CN"/>
        </w:rPr>
      </w:pPr>
      <w:r>
        <w:rPr>
          <w:rFonts w:hint="eastAsia" w:ascii="仿宋" w:hAnsi="仿宋" w:eastAsia="仿宋" w:cs="Times New Roman"/>
          <w:color w:val="000000"/>
        </w:rPr>
        <w:t xml:space="preserve">图 </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STYLEREF 2 \s </w:instrText>
      </w:r>
      <w:r>
        <w:rPr>
          <w:rFonts w:hint="eastAsia" w:ascii="仿宋" w:hAnsi="仿宋" w:eastAsia="仿宋" w:cs="Times New Roman"/>
          <w:color w:val="000000"/>
        </w:rPr>
        <w:fldChar w:fldCharType="separate"/>
      </w:r>
      <w:r>
        <w:rPr>
          <w:rFonts w:hint="eastAsia" w:ascii="仿宋" w:hAnsi="仿宋" w:eastAsia="仿宋" w:cs="Times New Roman"/>
          <w:color w:val="000000"/>
        </w:rPr>
        <w:t>5.2</w:t>
      </w:r>
      <w:r>
        <w:rPr>
          <w:rFonts w:hint="eastAsia" w:ascii="仿宋" w:hAnsi="仿宋" w:eastAsia="仿宋" w:cs="Times New Roman"/>
          <w:color w:val="000000"/>
        </w:rPr>
        <w:fldChar w:fldCharType="end"/>
      </w:r>
      <w:r>
        <w:rPr>
          <w:rFonts w:hint="eastAsia" w:ascii="仿宋" w:hAnsi="仿宋" w:eastAsia="仿宋" w:cs="Times New Roman"/>
          <w:color w:val="000000"/>
        </w:rPr>
        <w:t>-</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SEQ 图 \* ARABIC \s 2 </w:instrText>
      </w:r>
      <w:r>
        <w:rPr>
          <w:rFonts w:hint="eastAsia" w:ascii="仿宋" w:hAnsi="仿宋" w:eastAsia="仿宋" w:cs="Times New Roman"/>
          <w:color w:val="000000"/>
        </w:rPr>
        <w:fldChar w:fldCharType="separate"/>
      </w:r>
      <w:r>
        <w:rPr>
          <w:rFonts w:hint="eastAsia" w:ascii="仿宋" w:hAnsi="仿宋" w:eastAsia="仿宋" w:cs="Times New Roman"/>
          <w:color w:val="000000"/>
        </w:rPr>
        <w:t>8</w:t>
      </w:r>
      <w:r>
        <w:rPr>
          <w:rFonts w:hint="eastAsia" w:ascii="仿宋" w:hAnsi="仿宋" w:eastAsia="仿宋" w:cs="Times New Roman"/>
          <w:color w:val="000000"/>
        </w:rPr>
        <w:fldChar w:fldCharType="end"/>
      </w:r>
      <w:r>
        <w:rPr>
          <w:rFonts w:hint="eastAsia" w:ascii="仿宋" w:hAnsi="仿宋" w:eastAsia="仿宋" w:cs="Times New Roman"/>
          <w:color w:val="000000"/>
          <w:lang w:val="en-US" w:eastAsia="zh-CN"/>
        </w:rPr>
        <w:t>第3道附着牛腿拆除示意图</w:t>
      </w:r>
    </w:p>
    <w:p w14:paraId="6DF3055F">
      <w:pPr>
        <w:pStyle w:val="12"/>
        <w:jc w:val="center"/>
      </w:pPr>
      <w:r>
        <w:drawing>
          <wp:inline distT="0" distB="0" distL="114300" distR="114300">
            <wp:extent cx="4994910" cy="4084955"/>
            <wp:effectExtent l="0" t="0" r="15240" b="10795"/>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4"/>
                    <pic:cNvPicPr>
                      <a:picLocks noChangeAspect="1"/>
                    </pic:cNvPicPr>
                  </pic:nvPicPr>
                  <pic:blipFill>
                    <a:blip r:embed="rId34"/>
                    <a:stretch>
                      <a:fillRect/>
                    </a:stretch>
                  </pic:blipFill>
                  <pic:spPr>
                    <a:xfrm>
                      <a:off x="0" y="0"/>
                      <a:ext cx="4994910" cy="4084955"/>
                    </a:xfrm>
                    <a:prstGeom prst="rect">
                      <a:avLst/>
                    </a:prstGeom>
                    <a:noFill/>
                    <a:ln>
                      <a:noFill/>
                    </a:ln>
                  </pic:spPr>
                </pic:pic>
              </a:graphicData>
            </a:graphic>
          </wp:inline>
        </w:drawing>
      </w:r>
    </w:p>
    <w:p w14:paraId="06E27515">
      <w:pPr>
        <w:pStyle w:val="12"/>
        <w:jc w:val="center"/>
        <w:rPr>
          <w:rFonts w:hint="eastAsia" w:ascii="仿宋" w:hAnsi="仿宋" w:eastAsia="仿宋" w:cs="Times New Roman"/>
          <w:color w:val="000000"/>
          <w:lang w:val="en-US" w:eastAsia="zh-CN"/>
        </w:rPr>
      </w:pPr>
      <w:r>
        <w:rPr>
          <w:rFonts w:hint="eastAsia" w:ascii="仿宋" w:hAnsi="仿宋" w:eastAsia="仿宋" w:cs="Times New Roman"/>
          <w:color w:val="000000"/>
        </w:rPr>
        <w:t xml:space="preserve">图 </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STYLEREF 2 \s </w:instrText>
      </w:r>
      <w:r>
        <w:rPr>
          <w:rFonts w:hint="eastAsia" w:ascii="仿宋" w:hAnsi="仿宋" w:eastAsia="仿宋" w:cs="Times New Roman"/>
          <w:color w:val="000000"/>
        </w:rPr>
        <w:fldChar w:fldCharType="separate"/>
      </w:r>
      <w:r>
        <w:rPr>
          <w:rFonts w:hint="eastAsia" w:ascii="仿宋" w:hAnsi="仿宋" w:eastAsia="仿宋" w:cs="Times New Roman"/>
          <w:color w:val="000000"/>
        </w:rPr>
        <w:t>5.2</w:t>
      </w:r>
      <w:r>
        <w:rPr>
          <w:rFonts w:hint="eastAsia" w:ascii="仿宋" w:hAnsi="仿宋" w:eastAsia="仿宋" w:cs="Times New Roman"/>
          <w:color w:val="000000"/>
        </w:rPr>
        <w:fldChar w:fldCharType="end"/>
      </w:r>
      <w:r>
        <w:rPr>
          <w:rFonts w:hint="eastAsia" w:ascii="仿宋" w:hAnsi="仿宋" w:eastAsia="仿宋" w:cs="Times New Roman"/>
          <w:color w:val="000000"/>
        </w:rPr>
        <w:t>-</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SEQ 图 \* ARABIC \s 2 </w:instrText>
      </w:r>
      <w:r>
        <w:rPr>
          <w:rFonts w:hint="eastAsia" w:ascii="仿宋" w:hAnsi="仿宋" w:eastAsia="仿宋" w:cs="Times New Roman"/>
          <w:color w:val="000000"/>
        </w:rPr>
        <w:fldChar w:fldCharType="separate"/>
      </w:r>
      <w:r>
        <w:rPr>
          <w:rFonts w:hint="eastAsia" w:ascii="仿宋" w:hAnsi="仿宋" w:eastAsia="仿宋" w:cs="Times New Roman"/>
          <w:color w:val="000000"/>
        </w:rPr>
        <w:t>9</w:t>
      </w:r>
      <w:r>
        <w:rPr>
          <w:rFonts w:hint="eastAsia" w:ascii="仿宋" w:hAnsi="仿宋" w:eastAsia="仿宋" w:cs="Times New Roman"/>
          <w:color w:val="000000"/>
        </w:rPr>
        <w:fldChar w:fldCharType="end"/>
      </w:r>
      <w:r>
        <w:rPr>
          <w:rFonts w:hint="eastAsia" w:ascii="仿宋" w:hAnsi="仿宋" w:eastAsia="仿宋" w:cs="Times New Roman"/>
          <w:color w:val="000000"/>
          <w:lang w:val="en-US" w:eastAsia="zh-CN"/>
        </w:rPr>
        <w:t>第3道附着第3根附着杆拆除示意图</w:t>
      </w:r>
    </w:p>
    <w:p w14:paraId="5441EC09">
      <w:pPr>
        <w:spacing w:line="240" w:lineRule="auto"/>
        <w:ind w:left="0" w:leftChars="0" w:firstLine="0" w:firstLineChars="0"/>
        <w:jc w:val="center"/>
      </w:pPr>
      <w:r>
        <w:drawing>
          <wp:inline distT="0" distB="0" distL="114300" distR="114300">
            <wp:extent cx="5316220" cy="4160520"/>
            <wp:effectExtent l="0" t="0" r="17780" b="1143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5"/>
                    <pic:cNvPicPr>
                      <a:picLocks noChangeAspect="1"/>
                    </pic:cNvPicPr>
                  </pic:nvPicPr>
                  <pic:blipFill>
                    <a:blip r:embed="rId35"/>
                    <a:stretch>
                      <a:fillRect/>
                    </a:stretch>
                  </pic:blipFill>
                  <pic:spPr>
                    <a:xfrm>
                      <a:off x="0" y="0"/>
                      <a:ext cx="5316220" cy="4160520"/>
                    </a:xfrm>
                    <a:prstGeom prst="rect">
                      <a:avLst/>
                    </a:prstGeom>
                    <a:noFill/>
                    <a:ln>
                      <a:noFill/>
                    </a:ln>
                  </pic:spPr>
                </pic:pic>
              </a:graphicData>
            </a:graphic>
          </wp:inline>
        </w:drawing>
      </w:r>
    </w:p>
    <w:p w14:paraId="451467B0">
      <w:pPr>
        <w:pStyle w:val="12"/>
        <w:jc w:val="center"/>
        <w:rPr>
          <w:rFonts w:hint="eastAsia" w:ascii="仿宋" w:hAnsi="仿宋" w:eastAsia="仿宋" w:cs="Times New Roman"/>
          <w:color w:val="000000"/>
          <w:lang w:val="en-US" w:eastAsia="zh-CN"/>
        </w:rPr>
      </w:pPr>
      <w:r>
        <w:rPr>
          <w:rFonts w:hint="eastAsia" w:ascii="仿宋" w:hAnsi="仿宋" w:eastAsia="仿宋" w:cs="Times New Roman"/>
          <w:color w:val="000000"/>
        </w:rPr>
        <w:t xml:space="preserve">图 </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STYLEREF 2 \s </w:instrText>
      </w:r>
      <w:r>
        <w:rPr>
          <w:rFonts w:hint="eastAsia" w:ascii="仿宋" w:hAnsi="仿宋" w:eastAsia="仿宋" w:cs="Times New Roman"/>
          <w:color w:val="000000"/>
        </w:rPr>
        <w:fldChar w:fldCharType="separate"/>
      </w:r>
      <w:r>
        <w:rPr>
          <w:rFonts w:hint="eastAsia" w:ascii="仿宋" w:hAnsi="仿宋" w:eastAsia="仿宋" w:cs="Times New Roman"/>
          <w:color w:val="000000"/>
        </w:rPr>
        <w:t>5.2</w:t>
      </w:r>
      <w:r>
        <w:rPr>
          <w:rFonts w:hint="eastAsia" w:ascii="仿宋" w:hAnsi="仿宋" w:eastAsia="仿宋" w:cs="Times New Roman"/>
          <w:color w:val="000000"/>
        </w:rPr>
        <w:fldChar w:fldCharType="end"/>
      </w:r>
      <w:r>
        <w:rPr>
          <w:rFonts w:hint="eastAsia" w:ascii="仿宋" w:hAnsi="仿宋" w:eastAsia="仿宋" w:cs="Times New Roman"/>
          <w:color w:val="000000"/>
        </w:rPr>
        <w:t>-</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SEQ 图 \* ARABIC \s 2 </w:instrText>
      </w:r>
      <w:r>
        <w:rPr>
          <w:rFonts w:hint="eastAsia" w:ascii="仿宋" w:hAnsi="仿宋" w:eastAsia="仿宋" w:cs="Times New Roman"/>
          <w:color w:val="000000"/>
        </w:rPr>
        <w:fldChar w:fldCharType="separate"/>
      </w:r>
      <w:r>
        <w:rPr>
          <w:rFonts w:hint="eastAsia" w:ascii="仿宋" w:hAnsi="仿宋" w:eastAsia="仿宋" w:cs="Times New Roman"/>
          <w:color w:val="000000"/>
        </w:rPr>
        <w:t>10</w:t>
      </w:r>
      <w:r>
        <w:rPr>
          <w:rFonts w:hint="eastAsia" w:ascii="仿宋" w:hAnsi="仿宋" w:eastAsia="仿宋" w:cs="Times New Roman"/>
          <w:color w:val="000000"/>
        </w:rPr>
        <w:fldChar w:fldCharType="end"/>
      </w:r>
      <w:r>
        <w:rPr>
          <w:rFonts w:hint="eastAsia" w:ascii="仿宋" w:hAnsi="仿宋" w:eastAsia="仿宋" w:cs="Times New Roman"/>
          <w:color w:val="000000"/>
          <w:lang w:val="en-US" w:eastAsia="zh-CN"/>
        </w:rPr>
        <w:t>第3道附着第4根附着杆拆除示意图</w:t>
      </w:r>
    </w:p>
    <w:p w14:paraId="308E8FD8">
      <w:pPr>
        <w:spacing w:line="240" w:lineRule="auto"/>
        <w:ind w:left="0" w:leftChars="0" w:firstLine="0" w:firstLineChars="0"/>
        <w:jc w:val="center"/>
      </w:pPr>
      <w:r>
        <w:drawing>
          <wp:inline distT="0" distB="0" distL="114300" distR="114300">
            <wp:extent cx="4674235" cy="1546860"/>
            <wp:effectExtent l="0" t="0" r="12065" b="15240"/>
            <wp:docPr id="2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6"/>
                    <pic:cNvPicPr>
                      <a:picLocks noChangeAspect="1"/>
                    </pic:cNvPicPr>
                  </pic:nvPicPr>
                  <pic:blipFill>
                    <a:blip r:embed="rId36"/>
                    <a:stretch>
                      <a:fillRect/>
                    </a:stretch>
                  </pic:blipFill>
                  <pic:spPr>
                    <a:xfrm>
                      <a:off x="0" y="0"/>
                      <a:ext cx="4674235" cy="1546860"/>
                    </a:xfrm>
                    <a:prstGeom prst="rect">
                      <a:avLst/>
                    </a:prstGeom>
                    <a:noFill/>
                    <a:ln>
                      <a:noFill/>
                    </a:ln>
                  </pic:spPr>
                </pic:pic>
              </a:graphicData>
            </a:graphic>
          </wp:inline>
        </w:drawing>
      </w:r>
    </w:p>
    <w:p w14:paraId="276ACF22">
      <w:pPr>
        <w:pStyle w:val="12"/>
        <w:jc w:val="center"/>
        <w:rPr>
          <w:rFonts w:hint="eastAsia" w:ascii="仿宋" w:hAnsi="仿宋" w:eastAsia="仿宋" w:cs="Times New Roman"/>
          <w:color w:val="000000"/>
          <w:lang w:val="en-US" w:eastAsia="zh-CN"/>
        </w:rPr>
      </w:pPr>
      <w:r>
        <w:rPr>
          <w:rFonts w:hint="eastAsia" w:ascii="仿宋" w:hAnsi="仿宋" w:eastAsia="仿宋" w:cs="Times New Roman"/>
          <w:color w:val="000000"/>
        </w:rPr>
        <w:t xml:space="preserve">图 </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STYLEREF 2 \s </w:instrText>
      </w:r>
      <w:r>
        <w:rPr>
          <w:rFonts w:hint="eastAsia" w:ascii="仿宋" w:hAnsi="仿宋" w:eastAsia="仿宋" w:cs="Times New Roman"/>
          <w:color w:val="000000"/>
        </w:rPr>
        <w:fldChar w:fldCharType="separate"/>
      </w:r>
      <w:r>
        <w:rPr>
          <w:rFonts w:hint="eastAsia" w:ascii="仿宋" w:hAnsi="仿宋" w:eastAsia="仿宋" w:cs="Times New Roman"/>
          <w:color w:val="000000"/>
        </w:rPr>
        <w:t>5.2</w:t>
      </w:r>
      <w:r>
        <w:rPr>
          <w:rFonts w:hint="eastAsia" w:ascii="仿宋" w:hAnsi="仿宋" w:eastAsia="仿宋" w:cs="Times New Roman"/>
          <w:color w:val="000000"/>
        </w:rPr>
        <w:fldChar w:fldCharType="end"/>
      </w:r>
      <w:r>
        <w:rPr>
          <w:rFonts w:hint="eastAsia" w:ascii="仿宋" w:hAnsi="仿宋" w:eastAsia="仿宋" w:cs="Times New Roman"/>
          <w:color w:val="000000"/>
        </w:rPr>
        <w:t>-</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SEQ 图 \* ARABIC \s 2 </w:instrText>
      </w:r>
      <w:r>
        <w:rPr>
          <w:rFonts w:hint="eastAsia" w:ascii="仿宋" w:hAnsi="仿宋" w:eastAsia="仿宋" w:cs="Times New Roman"/>
          <w:color w:val="000000"/>
        </w:rPr>
        <w:fldChar w:fldCharType="separate"/>
      </w:r>
      <w:r>
        <w:rPr>
          <w:rFonts w:hint="eastAsia" w:ascii="仿宋" w:hAnsi="仿宋" w:eastAsia="仿宋" w:cs="Times New Roman"/>
          <w:color w:val="000000"/>
        </w:rPr>
        <w:t>11</w:t>
      </w:r>
      <w:r>
        <w:rPr>
          <w:rFonts w:hint="eastAsia" w:ascii="仿宋" w:hAnsi="仿宋" w:eastAsia="仿宋" w:cs="Times New Roman"/>
          <w:color w:val="000000"/>
        </w:rPr>
        <w:fldChar w:fldCharType="end"/>
      </w:r>
      <w:r>
        <w:rPr>
          <w:rFonts w:hint="eastAsia" w:ascii="仿宋" w:hAnsi="仿宋" w:eastAsia="仿宋" w:cs="Times New Roman"/>
          <w:color w:val="000000"/>
          <w:lang w:val="en-US" w:eastAsia="zh-CN"/>
        </w:rPr>
        <w:t>第3道附着拆除示意图</w:t>
      </w:r>
    </w:p>
    <w:p w14:paraId="53AB1336">
      <w:pPr>
        <w:spacing w:line="240" w:lineRule="auto"/>
        <w:ind w:left="0" w:leftChars="0" w:firstLine="0" w:firstLineChars="0"/>
        <w:jc w:val="center"/>
      </w:pPr>
      <w:r>
        <w:drawing>
          <wp:inline distT="0" distB="0" distL="114300" distR="114300">
            <wp:extent cx="4388485" cy="1343025"/>
            <wp:effectExtent l="0" t="0" r="12065" b="9525"/>
            <wp:docPr id="2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7"/>
                    <pic:cNvPicPr>
                      <a:picLocks noChangeAspect="1"/>
                    </pic:cNvPicPr>
                  </pic:nvPicPr>
                  <pic:blipFill>
                    <a:blip r:embed="rId37"/>
                    <a:stretch>
                      <a:fillRect/>
                    </a:stretch>
                  </pic:blipFill>
                  <pic:spPr>
                    <a:xfrm>
                      <a:off x="0" y="0"/>
                      <a:ext cx="4388485" cy="1343025"/>
                    </a:xfrm>
                    <a:prstGeom prst="rect">
                      <a:avLst/>
                    </a:prstGeom>
                    <a:noFill/>
                    <a:ln>
                      <a:noFill/>
                    </a:ln>
                  </pic:spPr>
                </pic:pic>
              </a:graphicData>
            </a:graphic>
          </wp:inline>
        </w:drawing>
      </w:r>
    </w:p>
    <w:p w14:paraId="54AAF876">
      <w:pPr>
        <w:pStyle w:val="12"/>
        <w:jc w:val="center"/>
        <w:rPr>
          <w:rFonts w:hint="eastAsia" w:ascii="仿宋" w:hAnsi="仿宋" w:eastAsia="仿宋" w:cs="Times New Roman"/>
          <w:color w:val="000000"/>
          <w:lang w:val="en-US" w:eastAsia="zh-CN"/>
        </w:rPr>
      </w:pPr>
      <w:r>
        <w:rPr>
          <w:rFonts w:hint="eastAsia" w:ascii="仿宋" w:hAnsi="仿宋" w:eastAsia="仿宋" w:cs="Times New Roman"/>
          <w:color w:val="000000"/>
        </w:rPr>
        <w:t xml:space="preserve">图 </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STYLEREF 2 \s </w:instrText>
      </w:r>
      <w:r>
        <w:rPr>
          <w:rFonts w:hint="eastAsia" w:ascii="仿宋" w:hAnsi="仿宋" w:eastAsia="仿宋" w:cs="Times New Roman"/>
          <w:color w:val="000000"/>
        </w:rPr>
        <w:fldChar w:fldCharType="separate"/>
      </w:r>
      <w:r>
        <w:rPr>
          <w:rFonts w:hint="eastAsia" w:ascii="仿宋" w:hAnsi="仿宋" w:eastAsia="仿宋" w:cs="Times New Roman"/>
          <w:color w:val="000000"/>
        </w:rPr>
        <w:t>5.2</w:t>
      </w:r>
      <w:r>
        <w:rPr>
          <w:rFonts w:hint="eastAsia" w:ascii="仿宋" w:hAnsi="仿宋" w:eastAsia="仿宋" w:cs="Times New Roman"/>
          <w:color w:val="000000"/>
        </w:rPr>
        <w:fldChar w:fldCharType="end"/>
      </w:r>
      <w:r>
        <w:rPr>
          <w:rFonts w:hint="eastAsia" w:ascii="仿宋" w:hAnsi="仿宋" w:eastAsia="仿宋" w:cs="Times New Roman"/>
          <w:color w:val="000000"/>
        </w:rPr>
        <w:t>-</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SEQ 图 \* ARABIC \s 2 </w:instrText>
      </w:r>
      <w:r>
        <w:rPr>
          <w:rFonts w:hint="eastAsia" w:ascii="仿宋" w:hAnsi="仿宋" w:eastAsia="仿宋" w:cs="Times New Roman"/>
          <w:color w:val="000000"/>
        </w:rPr>
        <w:fldChar w:fldCharType="separate"/>
      </w:r>
      <w:r>
        <w:rPr>
          <w:rFonts w:hint="eastAsia" w:ascii="仿宋" w:hAnsi="仿宋" w:eastAsia="仿宋" w:cs="Times New Roman"/>
          <w:color w:val="000000"/>
        </w:rPr>
        <w:t>12</w:t>
      </w:r>
      <w:r>
        <w:rPr>
          <w:rFonts w:hint="eastAsia" w:ascii="仿宋" w:hAnsi="仿宋" w:eastAsia="仿宋" w:cs="Times New Roman"/>
          <w:color w:val="000000"/>
        </w:rPr>
        <w:fldChar w:fldCharType="end"/>
      </w:r>
      <w:r>
        <w:rPr>
          <w:rFonts w:hint="eastAsia" w:ascii="仿宋" w:hAnsi="仿宋" w:eastAsia="仿宋" w:cs="Times New Roman"/>
          <w:color w:val="000000"/>
          <w:lang w:val="en-US" w:eastAsia="zh-CN"/>
        </w:rPr>
        <w:t>第2道附着拆除示意图</w:t>
      </w:r>
    </w:p>
    <w:p w14:paraId="4A751B87">
      <w:pPr>
        <w:pStyle w:val="12"/>
        <w:jc w:val="center"/>
      </w:pPr>
      <w:r>
        <w:drawing>
          <wp:inline distT="0" distB="0" distL="114300" distR="114300">
            <wp:extent cx="4239260" cy="3775075"/>
            <wp:effectExtent l="0" t="0" r="8890" b="15875"/>
            <wp:docPr id="3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9"/>
                    <pic:cNvPicPr>
                      <a:picLocks noChangeAspect="1"/>
                    </pic:cNvPicPr>
                  </pic:nvPicPr>
                  <pic:blipFill>
                    <a:blip r:embed="rId38"/>
                    <a:stretch>
                      <a:fillRect/>
                    </a:stretch>
                  </pic:blipFill>
                  <pic:spPr>
                    <a:xfrm>
                      <a:off x="0" y="0"/>
                      <a:ext cx="4239260" cy="3775075"/>
                    </a:xfrm>
                    <a:prstGeom prst="rect">
                      <a:avLst/>
                    </a:prstGeom>
                    <a:noFill/>
                    <a:ln>
                      <a:noFill/>
                    </a:ln>
                  </pic:spPr>
                </pic:pic>
              </a:graphicData>
            </a:graphic>
          </wp:inline>
        </w:drawing>
      </w:r>
    </w:p>
    <w:p w14:paraId="5A09F76F">
      <w:pPr>
        <w:pStyle w:val="12"/>
        <w:jc w:val="center"/>
        <w:rPr>
          <w:rFonts w:hint="eastAsia" w:ascii="仿宋" w:hAnsi="仿宋" w:eastAsia="仿宋" w:cs="Times New Roman"/>
          <w:color w:val="000000"/>
          <w:lang w:val="en-US" w:eastAsia="zh-CN"/>
        </w:rPr>
      </w:pPr>
      <w:r>
        <w:rPr>
          <w:rFonts w:hint="eastAsia" w:ascii="仿宋" w:hAnsi="仿宋" w:eastAsia="仿宋" w:cs="Times New Roman"/>
          <w:color w:val="000000"/>
        </w:rPr>
        <w:t xml:space="preserve">图 </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STYLEREF 2 \s </w:instrText>
      </w:r>
      <w:r>
        <w:rPr>
          <w:rFonts w:hint="eastAsia" w:ascii="仿宋" w:hAnsi="仿宋" w:eastAsia="仿宋" w:cs="Times New Roman"/>
          <w:color w:val="000000"/>
        </w:rPr>
        <w:fldChar w:fldCharType="separate"/>
      </w:r>
      <w:r>
        <w:rPr>
          <w:rFonts w:hint="eastAsia" w:ascii="仿宋" w:hAnsi="仿宋" w:eastAsia="仿宋" w:cs="Times New Roman"/>
          <w:color w:val="000000"/>
        </w:rPr>
        <w:t>5.2</w:t>
      </w:r>
      <w:r>
        <w:rPr>
          <w:rFonts w:hint="eastAsia" w:ascii="仿宋" w:hAnsi="仿宋" w:eastAsia="仿宋" w:cs="Times New Roman"/>
          <w:color w:val="000000"/>
        </w:rPr>
        <w:fldChar w:fldCharType="end"/>
      </w:r>
      <w:r>
        <w:rPr>
          <w:rFonts w:hint="eastAsia" w:ascii="仿宋" w:hAnsi="仿宋" w:eastAsia="仿宋" w:cs="Times New Roman"/>
          <w:color w:val="000000"/>
        </w:rPr>
        <w:t>-</w:t>
      </w:r>
      <w:r>
        <w:rPr>
          <w:rFonts w:hint="eastAsia" w:ascii="仿宋" w:hAnsi="仿宋" w:eastAsia="仿宋" w:cs="Times New Roman"/>
          <w:color w:val="000000"/>
        </w:rPr>
        <w:fldChar w:fldCharType="begin"/>
      </w:r>
      <w:r>
        <w:rPr>
          <w:rFonts w:hint="eastAsia" w:ascii="仿宋" w:hAnsi="仿宋" w:eastAsia="仿宋" w:cs="Times New Roman"/>
          <w:color w:val="000000"/>
        </w:rPr>
        <w:instrText xml:space="preserve"> SEQ 图 \* ARABIC \s 2 </w:instrText>
      </w:r>
      <w:r>
        <w:rPr>
          <w:rFonts w:hint="eastAsia" w:ascii="仿宋" w:hAnsi="仿宋" w:eastAsia="仿宋" w:cs="Times New Roman"/>
          <w:color w:val="000000"/>
        </w:rPr>
        <w:fldChar w:fldCharType="separate"/>
      </w:r>
      <w:r>
        <w:rPr>
          <w:rFonts w:hint="eastAsia" w:ascii="仿宋" w:hAnsi="仿宋" w:eastAsia="仿宋" w:cs="Times New Roman"/>
          <w:color w:val="000000"/>
        </w:rPr>
        <w:t>13</w:t>
      </w:r>
      <w:r>
        <w:rPr>
          <w:rFonts w:hint="eastAsia" w:ascii="仿宋" w:hAnsi="仿宋" w:eastAsia="仿宋" w:cs="Times New Roman"/>
          <w:color w:val="000000"/>
        </w:rPr>
        <w:fldChar w:fldCharType="end"/>
      </w:r>
      <w:r>
        <w:rPr>
          <w:rFonts w:hint="eastAsia" w:ascii="仿宋" w:hAnsi="仿宋" w:eastAsia="仿宋" w:cs="Times New Roman"/>
          <w:color w:val="000000"/>
          <w:lang w:val="en-US" w:eastAsia="zh-CN"/>
        </w:rPr>
        <w:t>第1道附着拆除平面图</w:t>
      </w:r>
    </w:p>
    <w:p w14:paraId="598AB3E4">
      <w:pPr>
        <w:widowControl w:val="0"/>
        <w:tabs>
          <w:tab w:val="left" w:pos="449"/>
        </w:tabs>
        <w:spacing w:line="240" w:lineRule="auto"/>
        <w:ind w:left="0" w:leftChars="0" w:firstLine="0" w:firstLineChars="0"/>
        <w:jc w:val="center"/>
      </w:pPr>
      <w:r>
        <w:drawing>
          <wp:inline distT="0" distB="0" distL="114300" distR="114300">
            <wp:extent cx="2466975" cy="4119245"/>
            <wp:effectExtent l="0" t="0" r="9525" b="14605"/>
            <wp:docPr id="3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5"/>
                    <pic:cNvPicPr>
                      <a:picLocks noChangeAspect="1"/>
                    </pic:cNvPicPr>
                  </pic:nvPicPr>
                  <pic:blipFill>
                    <a:blip r:embed="rId39"/>
                    <a:stretch>
                      <a:fillRect/>
                    </a:stretch>
                  </pic:blipFill>
                  <pic:spPr>
                    <a:xfrm>
                      <a:off x="0" y="0"/>
                      <a:ext cx="2466975" cy="4119245"/>
                    </a:xfrm>
                    <a:prstGeom prst="rect">
                      <a:avLst/>
                    </a:prstGeom>
                    <a:noFill/>
                    <a:ln>
                      <a:noFill/>
                    </a:ln>
                  </pic:spPr>
                </pic:pic>
              </a:graphicData>
            </a:graphic>
          </wp:inline>
        </w:drawing>
      </w:r>
    </w:p>
    <w:p w14:paraId="40954179">
      <w:pPr>
        <w:pStyle w:val="12"/>
        <w:rPr>
          <w:rFonts w:hint="eastAsia"/>
          <w:highlight w:val="none"/>
          <w:lang w:val="en-US" w:eastAsia="zh-CN"/>
        </w:rPr>
      </w:pPr>
      <w:r>
        <w:rPr>
          <w:rFonts w:hint="eastAsia" w:ascii="仿宋" w:hAnsi="仿宋" w:eastAsia="仿宋" w:cs="Times New Roman"/>
          <w:color w:val="000000"/>
          <w:highlight w:val="none"/>
        </w:rPr>
        <w:t xml:space="preserve">图 </w:t>
      </w:r>
      <w:r>
        <w:rPr>
          <w:rFonts w:hint="eastAsia" w:ascii="仿宋" w:hAnsi="仿宋" w:eastAsia="仿宋" w:cs="Times New Roman"/>
          <w:color w:val="000000"/>
          <w:highlight w:val="none"/>
        </w:rPr>
        <w:fldChar w:fldCharType="begin"/>
      </w:r>
      <w:r>
        <w:rPr>
          <w:rFonts w:hint="eastAsia" w:ascii="仿宋" w:hAnsi="仿宋" w:eastAsia="仿宋" w:cs="Times New Roman"/>
          <w:color w:val="000000"/>
          <w:highlight w:val="none"/>
        </w:rPr>
        <w:instrText xml:space="preserve"> STYLEREF 2 \s </w:instrText>
      </w:r>
      <w:r>
        <w:rPr>
          <w:rFonts w:hint="eastAsia" w:ascii="仿宋" w:hAnsi="仿宋" w:eastAsia="仿宋" w:cs="Times New Roman"/>
          <w:color w:val="000000"/>
          <w:highlight w:val="none"/>
        </w:rPr>
        <w:fldChar w:fldCharType="separate"/>
      </w:r>
      <w:r>
        <w:rPr>
          <w:rFonts w:hint="eastAsia" w:ascii="仿宋" w:hAnsi="仿宋" w:eastAsia="仿宋" w:cs="Times New Roman"/>
          <w:color w:val="000000"/>
          <w:highlight w:val="none"/>
        </w:rPr>
        <w:t>5.2</w:t>
      </w:r>
      <w:r>
        <w:rPr>
          <w:rFonts w:hint="eastAsia" w:ascii="仿宋" w:hAnsi="仿宋" w:eastAsia="仿宋" w:cs="Times New Roman"/>
          <w:color w:val="000000"/>
          <w:highlight w:val="none"/>
        </w:rPr>
        <w:fldChar w:fldCharType="end"/>
      </w:r>
      <w:r>
        <w:rPr>
          <w:rFonts w:hint="eastAsia" w:ascii="仿宋" w:hAnsi="仿宋" w:eastAsia="仿宋" w:cs="Times New Roman"/>
          <w:color w:val="000000"/>
          <w:highlight w:val="none"/>
        </w:rPr>
        <w:t>-</w:t>
      </w:r>
      <w:r>
        <w:rPr>
          <w:rFonts w:hint="eastAsia" w:ascii="仿宋" w:hAnsi="仿宋" w:eastAsia="仿宋" w:cs="Times New Roman"/>
          <w:color w:val="000000"/>
          <w:highlight w:val="none"/>
        </w:rPr>
        <w:fldChar w:fldCharType="begin"/>
      </w:r>
      <w:r>
        <w:rPr>
          <w:rFonts w:hint="eastAsia" w:ascii="仿宋" w:hAnsi="仿宋" w:eastAsia="仿宋" w:cs="Times New Roman"/>
          <w:color w:val="000000"/>
          <w:highlight w:val="none"/>
        </w:rPr>
        <w:instrText xml:space="preserve"> SEQ 图 \* ARABIC \s 2 </w:instrText>
      </w:r>
      <w:r>
        <w:rPr>
          <w:rFonts w:hint="eastAsia" w:ascii="仿宋" w:hAnsi="仿宋" w:eastAsia="仿宋" w:cs="Times New Roman"/>
          <w:color w:val="000000"/>
          <w:highlight w:val="none"/>
        </w:rPr>
        <w:fldChar w:fldCharType="separate"/>
      </w:r>
      <w:r>
        <w:rPr>
          <w:rFonts w:hint="eastAsia" w:ascii="仿宋" w:hAnsi="仿宋" w:eastAsia="仿宋" w:cs="Times New Roman"/>
          <w:color w:val="000000"/>
          <w:highlight w:val="none"/>
        </w:rPr>
        <w:t>14</w:t>
      </w:r>
      <w:r>
        <w:rPr>
          <w:rFonts w:hint="eastAsia" w:ascii="仿宋" w:hAnsi="仿宋" w:eastAsia="仿宋" w:cs="Times New Roman"/>
          <w:color w:val="000000"/>
          <w:highlight w:val="none"/>
        </w:rPr>
        <w:fldChar w:fldCharType="end"/>
      </w:r>
      <w:r>
        <w:rPr>
          <w:rFonts w:hint="eastAsia" w:ascii="仿宋" w:hAnsi="仿宋" w:eastAsia="仿宋" w:cs="Times New Roman"/>
          <w:color w:val="000000"/>
          <w:highlight w:val="none"/>
          <w:lang w:val="en-US" w:eastAsia="zh-CN"/>
        </w:rPr>
        <w:t>第1道附着拆除</w:t>
      </w:r>
      <w:r>
        <w:rPr>
          <w:rFonts w:hint="eastAsia" w:ascii="仿宋" w:hAnsi="仿宋" w:eastAsia="仿宋"/>
          <w:color w:val="000000"/>
          <w:highlight w:val="none"/>
          <w:lang w:val="en-US" w:eastAsia="zh-CN"/>
        </w:rPr>
        <w:t>立面</w:t>
      </w:r>
      <w:r>
        <w:rPr>
          <w:rFonts w:hint="eastAsia" w:ascii="仿宋" w:hAnsi="仿宋" w:eastAsia="仿宋" w:cs="Times New Roman"/>
          <w:color w:val="000000"/>
          <w:highlight w:val="none"/>
          <w:lang w:val="en-US" w:eastAsia="zh-CN"/>
        </w:rPr>
        <w:t>图</w:t>
      </w:r>
    </w:p>
    <w:p w14:paraId="6B1664E2">
      <w:pPr>
        <w:pStyle w:val="4"/>
        <w:rPr>
          <w:color w:val="000000"/>
        </w:rPr>
      </w:pPr>
      <w:r>
        <w:rPr>
          <w:rFonts w:hint="eastAsia"/>
          <w:color w:val="000000"/>
        </w:rPr>
        <w:t>拆除配重</w:t>
      </w:r>
      <w:bookmarkEnd w:id="57"/>
    </w:p>
    <w:p w14:paraId="146545BE">
      <w:pPr>
        <w:widowControl w:val="0"/>
        <w:rPr>
          <w:color w:val="000000"/>
        </w:rPr>
      </w:pPr>
      <w:r>
        <w:rPr>
          <w:rFonts w:hint="eastAsia"/>
          <w:color w:val="000000"/>
        </w:rPr>
        <w:t>（1）50m起重臂长度拆除的平衡重总重为</w:t>
      </w:r>
      <w:r>
        <w:rPr>
          <w:rFonts w:hint="eastAsia"/>
          <w:color w:val="000000"/>
          <w:lang w:val="en-US" w:eastAsia="zh-CN"/>
        </w:rPr>
        <w:t>36</w:t>
      </w:r>
      <w:r>
        <w:rPr>
          <w:rFonts w:hint="eastAsia"/>
          <w:color w:val="000000"/>
        </w:rPr>
        <w:t>t。分别为</w:t>
      </w:r>
      <w:r>
        <w:rPr>
          <w:rFonts w:hint="eastAsia"/>
          <w:color w:val="000000"/>
          <w:lang w:val="en-US" w:eastAsia="zh-CN"/>
        </w:rPr>
        <w:t>6</w:t>
      </w:r>
      <w:r>
        <w:rPr>
          <w:rFonts w:hint="eastAsia"/>
          <w:color w:val="000000"/>
        </w:rPr>
        <w:t>块</w:t>
      </w:r>
      <w:r>
        <w:rPr>
          <w:rFonts w:hint="eastAsia"/>
          <w:color w:val="000000"/>
          <w:lang w:val="en-US" w:eastAsia="zh-CN"/>
        </w:rPr>
        <w:t>5.5</w:t>
      </w:r>
      <w:r>
        <w:rPr>
          <w:rFonts w:hint="eastAsia"/>
          <w:color w:val="000000"/>
        </w:rPr>
        <w:t>t，1块</w:t>
      </w:r>
      <w:r>
        <w:rPr>
          <w:rFonts w:hint="eastAsia"/>
          <w:color w:val="000000"/>
          <w:lang w:val="en-US" w:eastAsia="zh-CN"/>
        </w:rPr>
        <w:t>3</w:t>
      </w:r>
      <w:r>
        <w:rPr>
          <w:rFonts w:hint="eastAsia"/>
          <w:color w:val="000000"/>
        </w:rPr>
        <w:t>t。先拆除</w:t>
      </w:r>
      <w:r>
        <w:rPr>
          <w:rFonts w:hint="eastAsia"/>
          <w:color w:val="000000"/>
          <w:lang w:val="en-US" w:eastAsia="zh-CN"/>
        </w:rPr>
        <w:t>5</w:t>
      </w:r>
      <w:r>
        <w:rPr>
          <w:rFonts w:hint="eastAsia"/>
          <w:color w:val="000000"/>
        </w:rPr>
        <w:t>块</w:t>
      </w:r>
      <w:r>
        <w:rPr>
          <w:rFonts w:hint="eastAsia"/>
          <w:color w:val="000000"/>
          <w:lang w:val="en-US" w:eastAsia="zh-CN"/>
        </w:rPr>
        <w:t>5.5</w:t>
      </w:r>
      <w:r>
        <w:rPr>
          <w:rFonts w:hint="eastAsia"/>
          <w:color w:val="000000"/>
        </w:rPr>
        <w:t>t，1块</w:t>
      </w:r>
      <w:r>
        <w:rPr>
          <w:rFonts w:hint="eastAsia"/>
          <w:color w:val="000000"/>
          <w:lang w:val="en-US" w:eastAsia="zh-CN"/>
        </w:rPr>
        <w:t>3</w:t>
      </w:r>
      <w:r>
        <w:rPr>
          <w:rFonts w:hint="eastAsia"/>
          <w:color w:val="000000"/>
        </w:rPr>
        <w:t>t（保留1块</w:t>
      </w:r>
      <w:r>
        <w:rPr>
          <w:rFonts w:hint="eastAsia"/>
          <w:color w:val="000000"/>
          <w:lang w:val="en-US" w:eastAsia="zh-CN"/>
        </w:rPr>
        <w:t>5.5</w:t>
      </w:r>
      <w:r>
        <w:rPr>
          <w:rFonts w:hint="eastAsia"/>
          <w:color w:val="000000"/>
        </w:rPr>
        <w:t>t配重），</w:t>
      </w:r>
      <w:r>
        <w:rPr>
          <w:rFonts w:hint="eastAsia"/>
          <w:color w:val="000000"/>
          <w:lang w:val="en-US" w:eastAsia="zh-CN"/>
        </w:rPr>
        <w:t>100</w:t>
      </w:r>
      <w:r>
        <w:rPr>
          <w:rFonts w:hint="eastAsia"/>
          <w:color w:val="000000"/>
          <w:lang w:eastAsia="zh-CN"/>
        </w:rPr>
        <w:t>T</w:t>
      </w:r>
      <w:r>
        <w:rPr>
          <w:rFonts w:hint="eastAsia"/>
          <w:color w:val="000000"/>
        </w:rPr>
        <w:t>汽车吊主臂长</w:t>
      </w:r>
      <w:r>
        <w:rPr>
          <w:rFonts w:hint="eastAsia"/>
          <w:color w:val="000000"/>
          <w:lang w:val="en-US" w:eastAsia="zh-CN"/>
        </w:rPr>
        <w:t>43.5</w:t>
      </w:r>
      <w:r>
        <w:rPr>
          <w:rFonts w:hint="eastAsia"/>
          <w:color w:val="000000"/>
        </w:rPr>
        <w:t>m，</w:t>
      </w:r>
      <w:r>
        <w:rPr>
          <w:rFonts w:hint="eastAsia"/>
          <w:color w:val="000000"/>
          <w:lang w:val="en-US" w:eastAsia="zh-CN"/>
        </w:rPr>
        <w:t>吊幅</w:t>
      </w:r>
      <w:r>
        <w:rPr>
          <w:rFonts w:hint="eastAsia"/>
          <w:color w:val="000000"/>
        </w:rPr>
        <w:t>约为</w:t>
      </w:r>
      <w:r>
        <w:rPr>
          <w:rFonts w:hint="eastAsia"/>
          <w:color w:val="000000"/>
          <w:lang w:val="en-US" w:eastAsia="zh-CN"/>
        </w:rPr>
        <w:t>18</w:t>
      </w:r>
      <w:r>
        <w:rPr>
          <w:rFonts w:hint="eastAsia"/>
          <w:color w:val="000000"/>
        </w:rPr>
        <w:t>m，起重能力为</w:t>
      </w:r>
      <w:r>
        <w:rPr>
          <w:rFonts w:hint="eastAsia"/>
          <w:color w:val="000000"/>
          <w:lang w:val="en-US" w:eastAsia="zh-CN"/>
        </w:rPr>
        <w:t>15</w:t>
      </w:r>
      <w:r>
        <w:rPr>
          <w:rFonts w:hint="eastAsia"/>
          <w:color w:val="000000"/>
          <w:lang w:eastAsia="zh-CN"/>
        </w:rPr>
        <w:t>t</w:t>
      </w:r>
      <w:r>
        <w:rPr>
          <w:rFonts w:hint="eastAsia"/>
          <w:color w:val="000000"/>
        </w:rPr>
        <w:t>&gt;</w:t>
      </w:r>
      <w:r>
        <w:rPr>
          <w:rFonts w:hint="eastAsia"/>
          <w:color w:val="000000"/>
          <w:lang w:val="en-US" w:eastAsia="zh-CN"/>
        </w:rPr>
        <w:t>5.5</w:t>
      </w:r>
      <w:r>
        <w:rPr>
          <w:rFonts w:hint="eastAsia"/>
          <w:color w:val="000000"/>
        </w:rPr>
        <w:t>t，</w:t>
      </w:r>
      <w:r>
        <w:rPr>
          <w:rFonts w:hint="eastAsia"/>
          <w:color w:val="000000"/>
          <w:lang w:val="en-US" w:eastAsia="zh-CN"/>
        </w:rPr>
        <w:t>100</w:t>
      </w:r>
      <w:r>
        <w:rPr>
          <w:rFonts w:hint="eastAsia"/>
          <w:color w:val="000000"/>
          <w:lang w:eastAsia="zh-CN"/>
        </w:rPr>
        <w:t>T</w:t>
      </w:r>
      <w:r>
        <w:rPr>
          <w:rFonts w:hint="eastAsia"/>
          <w:color w:val="000000"/>
        </w:rPr>
        <w:t>汽车吊起重性能满足要求。</w:t>
      </w:r>
    </w:p>
    <w:p w14:paraId="45C3EF7D">
      <w:pPr>
        <w:widowControl w:val="0"/>
        <w:spacing w:line="240" w:lineRule="auto"/>
        <w:ind w:firstLine="0" w:firstLineChars="0"/>
        <w:jc w:val="center"/>
        <w:rPr>
          <w:color w:val="000000"/>
        </w:rPr>
      </w:pPr>
      <w:r>
        <w:drawing>
          <wp:inline distT="0" distB="0" distL="114300" distR="114300">
            <wp:extent cx="5937250" cy="2523490"/>
            <wp:effectExtent l="0" t="0" r="6350" b="10160"/>
            <wp:docPr id="4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03"/>
                    <pic:cNvPicPr>
                      <a:picLocks noChangeAspect="1"/>
                    </pic:cNvPicPr>
                  </pic:nvPicPr>
                  <pic:blipFill>
                    <a:blip r:embed="rId40"/>
                    <a:stretch>
                      <a:fillRect/>
                    </a:stretch>
                  </pic:blipFill>
                  <pic:spPr>
                    <a:xfrm>
                      <a:off x="0" y="0"/>
                      <a:ext cx="5937250" cy="2523490"/>
                    </a:xfrm>
                    <a:prstGeom prst="rect">
                      <a:avLst/>
                    </a:prstGeom>
                    <a:noFill/>
                    <a:ln>
                      <a:noFill/>
                    </a:ln>
                  </pic:spPr>
                </pic:pic>
              </a:graphicData>
            </a:graphic>
          </wp:inline>
        </w:drawing>
      </w:r>
    </w:p>
    <w:p w14:paraId="4DD2323D">
      <w:pPr>
        <w:widowControl w:val="0"/>
        <w:rPr>
          <w:color w:val="000000"/>
        </w:rPr>
      </w:pPr>
      <w:r>
        <w:rPr>
          <w:rFonts w:hint="eastAsia"/>
          <w:color w:val="000000"/>
        </w:rPr>
        <w:t>（2）配重块吊装采用两点吊，以配重部顶部预埋的2个吊耳板作为吊装孔，采用</w:t>
      </w:r>
      <w:r>
        <w:rPr>
          <w:rFonts w:hint="eastAsia"/>
          <w:color w:val="000000"/>
          <w:lang w:eastAsia="zh-CN"/>
        </w:rPr>
        <w:t>2根</w:t>
      </w:r>
      <w:r>
        <w:rPr>
          <w:rFonts w:hint="eastAsia"/>
          <w:lang w:val="en-US" w:eastAsia="zh-CN"/>
        </w:rPr>
        <w:t>22mm6×19S+FC1870Mpa</w:t>
      </w:r>
      <w:r>
        <w:rPr>
          <w:rFonts w:hint="eastAsia"/>
          <w:color w:val="000000"/>
        </w:rPr>
        <w:t>的钢丝绳配套GB/T 25854-6-DW5卸扣进行起吊，</w:t>
      </w:r>
      <w:r>
        <w:rPr>
          <w:rFonts w:hint="eastAsia"/>
          <w:color w:val="000000"/>
          <w:lang w:val="en-US" w:eastAsia="zh-CN"/>
        </w:rPr>
        <w:t>100</w:t>
      </w:r>
      <w:r>
        <w:rPr>
          <w:rFonts w:hint="eastAsia"/>
          <w:color w:val="000000"/>
          <w:lang w:eastAsia="zh-CN"/>
        </w:rPr>
        <w:t>T</w:t>
      </w:r>
      <w:r>
        <w:rPr>
          <w:rFonts w:hint="eastAsia"/>
          <w:color w:val="000000"/>
        </w:rPr>
        <w:t>汽车吊站位图如下。</w:t>
      </w:r>
    </w:p>
    <w:p w14:paraId="30742134">
      <w:pPr>
        <w:widowControl w:val="0"/>
        <w:spacing w:line="240" w:lineRule="auto"/>
        <w:ind w:firstLine="0" w:firstLineChars="0"/>
        <w:jc w:val="center"/>
        <w:rPr>
          <w:rFonts w:hint="eastAsia" w:eastAsia="仿宋"/>
          <w:color w:val="000000"/>
          <w:lang w:eastAsia="zh-CN"/>
        </w:rPr>
      </w:pPr>
      <w:r>
        <w:drawing>
          <wp:inline distT="0" distB="0" distL="114300" distR="114300">
            <wp:extent cx="5327015" cy="4268470"/>
            <wp:effectExtent l="0" t="0" r="6985" b="17780"/>
            <wp:docPr id="5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4"/>
                    <pic:cNvPicPr>
                      <a:picLocks noChangeAspect="1"/>
                    </pic:cNvPicPr>
                  </pic:nvPicPr>
                  <pic:blipFill>
                    <a:blip r:embed="rId41"/>
                    <a:stretch>
                      <a:fillRect/>
                    </a:stretch>
                  </pic:blipFill>
                  <pic:spPr>
                    <a:xfrm>
                      <a:off x="0" y="0"/>
                      <a:ext cx="5327015" cy="4268470"/>
                    </a:xfrm>
                    <a:prstGeom prst="rect">
                      <a:avLst/>
                    </a:prstGeom>
                    <a:noFill/>
                    <a:ln>
                      <a:noFill/>
                    </a:ln>
                  </pic:spPr>
                </pic:pic>
              </a:graphicData>
            </a:graphic>
          </wp:inline>
        </w:drawing>
      </w:r>
      <w:r>
        <w:drawing>
          <wp:inline distT="0" distB="0" distL="114300" distR="114300">
            <wp:extent cx="4843780" cy="3126105"/>
            <wp:effectExtent l="0" t="0" r="13970" b="17145"/>
            <wp:docPr id="4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6"/>
                    <pic:cNvPicPr>
                      <a:picLocks noChangeAspect="1"/>
                    </pic:cNvPicPr>
                  </pic:nvPicPr>
                  <pic:blipFill>
                    <a:blip r:embed="rId42"/>
                    <a:stretch>
                      <a:fillRect/>
                    </a:stretch>
                  </pic:blipFill>
                  <pic:spPr>
                    <a:xfrm>
                      <a:off x="0" y="0"/>
                      <a:ext cx="4843780" cy="3126105"/>
                    </a:xfrm>
                    <a:prstGeom prst="rect">
                      <a:avLst/>
                    </a:prstGeom>
                    <a:noFill/>
                    <a:ln>
                      <a:noFill/>
                    </a:ln>
                  </pic:spPr>
                </pic:pic>
              </a:graphicData>
            </a:graphic>
          </wp:inline>
        </w:drawing>
      </w:r>
    </w:p>
    <w:p w14:paraId="631EA0C4">
      <w:pPr>
        <w:ind w:firstLine="0" w:firstLineChars="0"/>
        <w:jc w:val="center"/>
        <w:rPr>
          <w:b/>
          <w:color w:val="000000"/>
          <w:sz w:val="21"/>
          <w:szCs w:val="21"/>
        </w:rPr>
      </w:pPr>
      <w:bookmarkStart w:id="58" w:name="_Toc30899"/>
      <w:r>
        <w:rPr>
          <w:rFonts w:hint="eastAsia"/>
          <w:b/>
          <w:color w:val="000000"/>
          <w:sz w:val="21"/>
          <w:szCs w:val="21"/>
        </w:rPr>
        <w:t xml:space="preserve">图 </w:t>
      </w:r>
      <w:r>
        <w:rPr>
          <w:rFonts w:hint="eastAsia"/>
          <w:b/>
          <w:color w:val="000000"/>
          <w:sz w:val="21"/>
          <w:szCs w:val="21"/>
        </w:rPr>
        <w:fldChar w:fldCharType="begin"/>
      </w:r>
      <w:r>
        <w:rPr>
          <w:rFonts w:hint="eastAsia"/>
          <w:b/>
          <w:color w:val="000000"/>
          <w:sz w:val="21"/>
          <w:szCs w:val="21"/>
        </w:rPr>
        <w:instrText xml:space="preserve"> STYLEREF 2 \s </w:instrText>
      </w:r>
      <w:r>
        <w:rPr>
          <w:rFonts w:hint="eastAsia"/>
          <w:b/>
          <w:color w:val="000000"/>
          <w:sz w:val="21"/>
          <w:szCs w:val="21"/>
        </w:rPr>
        <w:fldChar w:fldCharType="separate"/>
      </w:r>
      <w:r>
        <w:rPr>
          <w:rFonts w:hint="eastAsia"/>
          <w:b/>
          <w:color w:val="000000"/>
          <w:sz w:val="21"/>
          <w:szCs w:val="21"/>
        </w:rPr>
        <w:t>5.2</w:t>
      </w:r>
      <w:r>
        <w:rPr>
          <w:rFonts w:hint="eastAsia"/>
          <w:b/>
          <w:color w:val="000000"/>
          <w:sz w:val="21"/>
          <w:szCs w:val="21"/>
        </w:rPr>
        <w:fldChar w:fldCharType="end"/>
      </w:r>
      <w:r>
        <w:rPr>
          <w:rFonts w:hint="eastAsia"/>
          <w:b/>
          <w:color w:val="000000"/>
          <w:sz w:val="21"/>
          <w:szCs w:val="21"/>
        </w:rPr>
        <w:t>-</w:t>
      </w:r>
      <w:r>
        <w:rPr>
          <w:rFonts w:hint="eastAsia"/>
          <w:b/>
          <w:color w:val="000000"/>
          <w:sz w:val="21"/>
          <w:szCs w:val="21"/>
        </w:rPr>
        <w:fldChar w:fldCharType="begin"/>
      </w:r>
      <w:r>
        <w:rPr>
          <w:rFonts w:hint="eastAsia"/>
          <w:b/>
          <w:color w:val="000000"/>
          <w:sz w:val="21"/>
          <w:szCs w:val="21"/>
        </w:rPr>
        <w:instrText xml:space="preserve"> SEQ 图 \* ARABIC \s 2 </w:instrText>
      </w:r>
      <w:r>
        <w:rPr>
          <w:rFonts w:hint="eastAsia"/>
          <w:b/>
          <w:color w:val="000000"/>
          <w:sz w:val="21"/>
          <w:szCs w:val="21"/>
        </w:rPr>
        <w:fldChar w:fldCharType="separate"/>
      </w:r>
      <w:r>
        <w:rPr>
          <w:rFonts w:hint="eastAsia"/>
          <w:b/>
          <w:color w:val="000000"/>
          <w:sz w:val="21"/>
          <w:szCs w:val="21"/>
        </w:rPr>
        <w:t>15</w:t>
      </w:r>
      <w:r>
        <w:rPr>
          <w:rFonts w:hint="eastAsia"/>
          <w:b/>
          <w:color w:val="000000"/>
          <w:sz w:val="21"/>
          <w:szCs w:val="21"/>
        </w:rPr>
        <w:fldChar w:fldCharType="end"/>
      </w:r>
      <w:r>
        <w:rPr>
          <w:rFonts w:hint="eastAsia"/>
          <w:b/>
          <w:color w:val="000000"/>
          <w:sz w:val="21"/>
          <w:szCs w:val="21"/>
          <w:lang w:val="en-US" w:eastAsia="zh-CN"/>
        </w:rPr>
        <w:t xml:space="preserve"> </w:t>
      </w:r>
      <w:r>
        <w:rPr>
          <w:rFonts w:hint="eastAsia"/>
          <w:b/>
          <w:color w:val="000000"/>
          <w:sz w:val="21"/>
          <w:szCs w:val="21"/>
        </w:rPr>
        <w:t>平衡重拆除示意图</w:t>
      </w:r>
    </w:p>
    <w:p w14:paraId="5ADBFC8E">
      <w:pPr>
        <w:widowControl w:val="0"/>
        <w:rPr>
          <w:color w:val="000000"/>
        </w:rPr>
      </w:pPr>
      <w:r>
        <w:rPr>
          <w:rFonts w:hint="eastAsia"/>
          <w:color w:val="000000"/>
        </w:rPr>
        <w:t>（3）作业人员在地面上先将钢丝绳一端挂在汽车吊吊钩上，另一端与卸扣连接，启动汽车吊，将卸扣缓慢提升至平衡重上方时，缓慢放松吊钩，作业人员通过平衡臂走道走行至平衡臂尾部，将安全带系挂在平衡臂横杆上，再将卸扣与平衡重吊耳通过销轴连接，打开平衡臂尾部的挡杆。汽车吊起升吊钩，将平衡重竖直起吊一定高度后，解除平衡重孔的销轴，汽车吊将平衡重沿平衡臂尾部槽口缓慢向外移出平衡臂，将平衡重下放至地面，作业人员在地面上解除卸扣与平衡重吊耳的连接。</w:t>
      </w:r>
    </w:p>
    <w:p w14:paraId="28E1FF3C">
      <w:pPr>
        <w:pStyle w:val="4"/>
        <w:rPr>
          <w:color w:val="000000"/>
        </w:rPr>
      </w:pPr>
      <w:r>
        <w:rPr>
          <w:rFonts w:hint="eastAsia"/>
          <w:color w:val="000000"/>
        </w:rPr>
        <w:t>拆除</w:t>
      </w:r>
      <w:r>
        <w:rPr>
          <w:rFonts w:hint="eastAsia"/>
          <w:color w:val="000000"/>
          <w:lang w:val="en-US" w:eastAsia="zh-CN"/>
        </w:rPr>
        <w:t>部分</w:t>
      </w:r>
      <w:r>
        <w:rPr>
          <w:rFonts w:hint="eastAsia"/>
          <w:color w:val="000000"/>
        </w:rPr>
        <w:t>起重臂</w:t>
      </w:r>
      <w:bookmarkEnd w:id="58"/>
    </w:p>
    <w:p w14:paraId="3E1AA5A2">
      <w:pPr>
        <w:numPr>
          <w:ilvl w:val="0"/>
          <w:numId w:val="3"/>
        </w:numPr>
        <w:ind w:firstLineChars="0"/>
        <w:rPr>
          <w:color w:val="000000"/>
        </w:rPr>
      </w:pPr>
      <w:r>
        <w:rPr>
          <w:rFonts w:hint="eastAsia"/>
          <w:color w:val="000000"/>
        </w:rPr>
        <w:t>放下吊钩至地面，拆除起重钢丝绳与起重臂前端上的防扭装置连接，开动起升机构，回收全部钢丝绳；</w:t>
      </w:r>
    </w:p>
    <w:p w14:paraId="3CC540CF">
      <w:pPr>
        <w:pStyle w:val="12"/>
        <w:ind w:firstLine="560"/>
        <w:rPr>
          <w:rFonts w:ascii="仿宋" w:hAnsi="仿宋" w:eastAsia="仿宋"/>
          <w:color w:val="000000"/>
          <w:sz w:val="28"/>
          <w:szCs w:val="28"/>
        </w:rPr>
      </w:pPr>
      <w:r>
        <w:rPr>
          <w:rFonts w:hint="eastAsia" w:ascii="仿宋" w:hAnsi="仿宋" w:eastAsia="仿宋"/>
          <w:color w:val="000000"/>
        </w:rPr>
        <w:t xml:space="preserve">表 </w:t>
      </w:r>
      <w:r>
        <w:rPr>
          <w:rFonts w:hint="eastAsia" w:ascii="仿宋" w:hAnsi="仿宋" w:eastAsia="仿宋"/>
          <w:color w:val="000000"/>
        </w:rPr>
        <w:fldChar w:fldCharType="begin"/>
      </w:r>
      <w:r>
        <w:rPr>
          <w:rFonts w:hint="eastAsia" w:ascii="仿宋" w:hAnsi="仿宋" w:eastAsia="仿宋"/>
          <w:color w:val="000000"/>
        </w:rPr>
        <w:instrText xml:space="preserve"> STYLEREF 2 \s </w:instrText>
      </w:r>
      <w:r>
        <w:rPr>
          <w:rFonts w:hint="eastAsia" w:ascii="仿宋" w:hAnsi="仿宋" w:eastAsia="仿宋"/>
          <w:color w:val="000000"/>
        </w:rPr>
        <w:fldChar w:fldCharType="separate"/>
      </w:r>
      <w:r>
        <w:rPr>
          <w:rFonts w:hint="eastAsia" w:ascii="仿宋" w:hAnsi="仿宋" w:eastAsia="仿宋"/>
          <w:color w:val="000000"/>
        </w:rPr>
        <w:t>5.2</w:t>
      </w:r>
      <w:r>
        <w:rPr>
          <w:rFonts w:hint="eastAsia" w:ascii="仿宋" w:hAnsi="仿宋" w:eastAsia="仿宋"/>
          <w:color w:val="000000"/>
        </w:rPr>
        <w:fldChar w:fldCharType="end"/>
      </w:r>
      <w:r>
        <w:rPr>
          <w:rFonts w:hint="eastAsia" w:ascii="仿宋" w:hAnsi="仿宋" w:eastAsia="仿宋"/>
          <w:color w:val="000000"/>
        </w:rPr>
        <w:t>-</w:t>
      </w:r>
      <w:r>
        <w:rPr>
          <w:rFonts w:hint="eastAsia" w:ascii="仿宋" w:hAnsi="仿宋" w:eastAsia="仿宋"/>
          <w:color w:val="000000"/>
        </w:rPr>
        <w:fldChar w:fldCharType="begin"/>
      </w:r>
      <w:r>
        <w:rPr>
          <w:rFonts w:hint="eastAsia" w:ascii="仿宋" w:hAnsi="仿宋" w:eastAsia="仿宋"/>
          <w:color w:val="000000"/>
        </w:rPr>
        <w:instrText xml:space="preserve"> SEQ 表 \* ARABIC \s 2 </w:instrText>
      </w:r>
      <w:r>
        <w:rPr>
          <w:rFonts w:hint="eastAsia" w:ascii="仿宋" w:hAnsi="仿宋" w:eastAsia="仿宋"/>
          <w:color w:val="000000"/>
        </w:rPr>
        <w:fldChar w:fldCharType="separate"/>
      </w:r>
      <w:r>
        <w:rPr>
          <w:rFonts w:hint="eastAsia" w:ascii="仿宋" w:hAnsi="仿宋" w:eastAsia="仿宋"/>
          <w:color w:val="000000"/>
        </w:rPr>
        <w:t>1</w:t>
      </w:r>
      <w:r>
        <w:rPr>
          <w:rFonts w:hint="eastAsia" w:ascii="仿宋" w:hAnsi="仿宋" w:eastAsia="仿宋"/>
          <w:color w:val="000000"/>
        </w:rPr>
        <w:fldChar w:fldCharType="end"/>
      </w:r>
      <w:r>
        <w:rPr>
          <w:rFonts w:hint="eastAsia" w:ascii="仿宋" w:hAnsi="仿宋" w:eastAsia="仿宋"/>
          <w:color w:val="000000"/>
        </w:rPr>
        <w:t xml:space="preserve"> 起重臂尺寸及重量表</w:t>
      </w:r>
    </w:p>
    <w:tbl>
      <w:tblPr>
        <w:tblStyle w:val="28"/>
        <w:tblW w:w="95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1937"/>
        <w:gridCol w:w="834"/>
        <w:gridCol w:w="1248"/>
        <w:gridCol w:w="1248"/>
        <w:gridCol w:w="1248"/>
        <w:gridCol w:w="2214"/>
      </w:tblGrid>
      <w:tr w14:paraId="63B6D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2F66CD5F">
            <w:pPr>
              <w:pStyle w:val="88"/>
              <w:widowControl/>
              <w:snapToGrid w:val="0"/>
              <w:spacing w:before="31" w:after="31"/>
              <w:rPr>
                <w:rFonts w:hint="default" w:ascii="Times New Roman" w:hAnsi="Times New Roman" w:eastAsia="宋体"/>
                <w:b/>
                <w:color w:val="000000"/>
              </w:rPr>
            </w:pPr>
            <w:r>
              <w:rPr>
                <w:rFonts w:ascii="Times New Roman" w:hAnsi="Times New Roman" w:eastAsia="宋体"/>
                <w:b/>
                <w:color w:val="000000"/>
              </w:rPr>
              <w:t>序号</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69DC4BFA">
            <w:pPr>
              <w:pStyle w:val="88"/>
              <w:widowControl/>
              <w:snapToGrid w:val="0"/>
              <w:spacing w:before="31" w:after="31"/>
              <w:rPr>
                <w:rFonts w:hint="default" w:ascii="Times New Roman" w:eastAsia="宋体"/>
                <w:b/>
                <w:color w:val="000000"/>
              </w:rPr>
            </w:pPr>
            <w:r>
              <w:rPr>
                <w:rFonts w:ascii="Times New Roman" w:hAnsi="Times New Roman" w:eastAsia="宋体"/>
                <w:b/>
                <w:color w:val="000000"/>
              </w:rPr>
              <w:t>吊装单元名称</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6B0DA6F9">
            <w:pPr>
              <w:pStyle w:val="88"/>
              <w:widowControl/>
              <w:snapToGrid w:val="0"/>
              <w:spacing w:before="31" w:after="31"/>
              <w:rPr>
                <w:rFonts w:hint="default" w:ascii="Times New Roman" w:eastAsia="宋体"/>
                <w:b/>
                <w:color w:val="000000"/>
              </w:rPr>
            </w:pPr>
            <w:r>
              <w:rPr>
                <w:rFonts w:ascii="Times New Roman" w:hAnsi="Times New Roman" w:eastAsia="宋体"/>
                <w:b/>
                <w:color w:val="000000"/>
              </w:rPr>
              <w:t>数量</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7693415C">
            <w:pPr>
              <w:pStyle w:val="88"/>
              <w:widowControl/>
              <w:snapToGrid w:val="0"/>
              <w:spacing w:before="31" w:after="31"/>
              <w:rPr>
                <w:rFonts w:hint="default" w:ascii="Times New Roman" w:eastAsia="宋体"/>
                <w:b/>
                <w:color w:val="000000"/>
              </w:rPr>
            </w:pPr>
            <w:r>
              <w:rPr>
                <w:rFonts w:ascii="Times New Roman" w:hAnsi="Times New Roman" w:eastAsia="宋体"/>
                <w:b/>
                <w:color w:val="000000"/>
              </w:rPr>
              <w:t>长（</w:t>
            </w:r>
            <w:r>
              <w:rPr>
                <w:rFonts w:ascii="Times New Roman" w:eastAsia="宋体"/>
                <w:b/>
                <w:color w:val="000000"/>
              </w:rPr>
              <w:t>m</w:t>
            </w:r>
            <w:r>
              <w:rPr>
                <w:rFonts w:ascii="Times New Roman" w:hAnsi="Times New Roman" w:eastAsia="宋体"/>
                <w:b/>
                <w:color w:val="000000"/>
              </w:rPr>
              <w:t>）</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1BCCA63F">
            <w:pPr>
              <w:pStyle w:val="88"/>
              <w:widowControl/>
              <w:snapToGrid w:val="0"/>
              <w:spacing w:before="31" w:after="31"/>
              <w:rPr>
                <w:rFonts w:hint="default" w:ascii="Times New Roman" w:eastAsia="宋体"/>
                <w:b/>
                <w:color w:val="000000"/>
              </w:rPr>
            </w:pPr>
            <w:r>
              <w:rPr>
                <w:rFonts w:ascii="Times New Roman" w:hAnsi="Times New Roman" w:eastAsia="宋体"/>
                <w:b/>
                <w:color w:val="000000"/>
              </w:rPr>
              <w:t>宽（</w:t>
            </w:r>
            <w:r>
              <w:rPr>
                <w:rFonts w:ascii="Times New Roman" w:eastAsia="宋体"/>
                <w:b/>
                <w:color w:val="000000"/>
              </w:rPr>
              <w:t>m</w:t>
            </w:r>
            <w:r>
              <w:rPr>
                <w:rFonts w:ascii="Times New Roman" w:hAnsi="Times New Roman" w:eastAsia="宋体"/>
                <w:b/>
                <w:color w:val="000000"/>
              </w:rPr>
              <w:t>）</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7382F550">
            <w:pPr>
              <w:pStyle w:val="88"/>
              <w:widowControl/>
              <w:snapToGrid w:val="0"/>
              <w:spacing w:before="31" w:after="31"/>
              <w:rPr>
                <w:rFonts w:hint="default" w:ascii="Times New Roman" w:eastAsia="宋体"/>
                <w:b/>
                <w:color w:val="000000"/>
              </w:rPr>
            </w:pPr>
            <w:r>
              <w:rPr>
                <w:rFonts w:ascii="Times New Roman" w:hAnsi="Times New Roman" w:eastAsia="宋体"/>
                <w:b/>
                <w:color w:val="000000"/>
              </w:rPr>
              <w:t>高（</w:t>
            </w:r>
            <w:r>
              <w:rPr>
                <w:rFonts w:ascii="Times New Roman" w:eastAsia="宋体"/>
                <w:b/>
                <w:color w:val="000000"/>
              </w:rPr>
              <w:t>m</w:t>
            </w:r>
            <w:r>
              <w:rPr>
                <w:rFonts w:ascii="Times New Roman" w:hAnsi="Times New Roman" w:eastAsia="宋体"/>
                <w:b/>
                <w:color w:val="000000"/>
              </w:rPr>
              <w:t>）</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48FFB323">
            <w:pPr>
              <w:pStyle w:val="88"/>
              <w:widowControl/>
              <w:snapToGrid w:val="0"/>
              <w:spacing w:before="31" w:after="31"/>
              <w:rPr>
                <w:rFonts w:hint="default" w:ascii="Times New Roman" w:eastAsia="宋体"/>
                <w:b/>
                <w:color w:val="000000"/>
              </w:rPr>
            </w:pPr>
            <w:r>
              <w:rPr>
                <w:rFonts w:ascii="Times New Roman" w:hAnsi="Times New Roman" w:eastAsia="宋体"/>
                <w:b/>
                <w:color w:val="000000"/>
              </w:rPr>
              <w:t>单件重量（</w:t>
            </w:r>
            <w:r>
              <w:rPr>
                <w:rFonts w:hint="eastAsia" w:ascii="Times New Roman" w:hAnsi="Times New Roman" w:eastAsia="宋体"/>
                <w:b/>
                <w:color w:val="000000"/>
                <w:lang w:val="en-US" w:eastAsia="zh-CN"/>
              </w:rPr>
              <w:t>kg</w:t>
            </w:r>
            <w:r>
              <w:rPr>
                <w:rFonts w:ascii="Times New Roman" w:hAnsi="Times New Roman" w:eastAsia="宋体"/>
                <w:b/>
                <w:color w:val="000000"/>
              </w:rPr>
              <w:t>）</w:t>
            </w:r>
          </w:p>
        </w:tc>
      </w:tr>
      <w:tr w14:paraId="1A93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395C7D85">
            <w:pPr>
              <w:snapToGrid w:val="0"/>
              <w:spacing w:line="240" w:lineRule="auto"/>
              <w:ind w:firstLine="0" w:firstLineChars="0"/>
              <w:jc w:val="center"/>
              <w:rPr>
                <w:rFonts w:hAnsi="宋体" w:cs="宋体"/>
                <w:color w:val="000000"/>
                <w:sz w:val="21"/>
                <w:szCs w:val="24"/>
              </w:rPr>
            </w:pPr>
            <w:r>
              <w:rPr>
                <w:rFonts w:hint="eastAsia" w:hAnsi="宋体" w:cs="宋体"/>
                <w:color w:val="000000"/>
                <w:sz w:val="21"/>
                <w:szCs w:val="24"/>
              </w:rPr>
              <w:t>1</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2EEBEFC5">
            <w:pPr>
              <w:snapToGrid w:val="0"/>
              <w:spacing w:line="240" w:lineRule="auto"/>
              <w:ind w:firstLine="0" w:firstLineChars="0"/>
              <w:jc w:val="center"/>
              <w:rPr>
                <w:rFonts w:hint="default" w:hAnsi="宋体" w:eastAsia="仿宋" w:cs="宋体"/>
                <w:color w:val="000000"/>
                <w:sz w:val="21"/>
                <w:szCs w:val="24"/>
                <w:lang w:val="en-US" w:eastAsia="zh-CN"/>
              </w:rPr>
            </w:pPr>
            <w:r>
              <w:rPr>
                <w:rFonts w:hint="eastAsia" w:hAnsi="宋体" w:cs="宋体"/>
                <w:color w:val="000000"/>
                <w:sz w:val="21"/>
                <w:szCs w:val="24"/>
              </w:rPr>
              <w:t>臂节</w:t>
            </w:r>
            <w:r>
              <w:rPr>
                <w:rFonts w:hint="eastAsia" w:hAnsi="宋体" w:cs="宋体"/>
                <w:color w:val="000000"/>
                <w:sz w:val="21"/>
                <w:szCs w:val="24"/>
                <w:lang w:val="en-US" w:eastAsia="zh-CN"/>
              </w:rPr>
              <w:t>M1</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60D7DBB3">
            <w:pPr>
              <w:pStyle w:val="88"/>
              <w:widowControl/>
              <w:snapToGrid w:val="0"/>
              <w:spacing w:before="31" w:after="31"/>
              <w:rPr>
                <w:rFonts w:hint="default" w:hAnsi="Times New Roman"/>
                <w:color w:val="000000"/>
                <w:szCs w:val="24"/>
              </w:rPr>
            </w:pPr>
            <w:r>
              <w:rPr>
                <w:rFonts w:hAnsi="Times New Roman"/>
                <w:color w:val="000000"/>
              </w:rP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F7469A1">
            <w:pPr>
              <w:pStyle w:val="88"/>
              <w:widowControl/>
              <w:snapToGrid w:val="0"/>
              <w:spacing w:before="31" w:after="31"/>
              <w:rPr>
                <w:rFonts w:hint="default" w:hAnsi="Times New Roman" w:eastAsia="仿宋"/>
                <w:color w:val="000000"/>
                <w:szCs w:val="18"/>
                <w:lang w:val="en-US" w:eastAsia="zh-CN" w:bidi="ar"/>
              </w:rPr>
            </w:pPr>
            <w:r>
              <w:rPr>
                <w:rFonts w:hint="eastAsia" w:hAnsi="Times New Roman"/>
                <w:color w:val="000000"/>
                <w:szCs w:val="18"/>
                <w:lang w:val="en-US" w:eastAsia="zh-CN" w:bidi="ar"/>
              </w:rPr>
              <w:t>5</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3E001174">
            <w:pPr>
              <w:pStyle w:val="88"/>
              <w:widowControl/>
              <w:snapToGrid w:val="0"/>
              <w:spacing w:before="31" w:after="31"/>
              <w:rPr>
                <w:rFonts w:hint="default" w:hAnsi="Times New Roman" w:eastAsia="仿宋"/>
                <w:color w:val="000000"/>
                <w:szCs w:val="18"/>
                <w:lang w:val="en-US" w:eastAsia="zh-CN" w:bidi="ar"/>
              </w:rPr>
            </w:pPr>
            <w:r>
              <w:rPr>
                <w:rFonts w:hint="eastAsia" w:hAnsi="Times New Roman"/>
                <w:color w:val="000000"/>
                <w:szCs w:val="18"/>
                <w:lang w:val="en-US" w:eastAsia="zh-CN" w:bidi="ar"/>
              </w:rPr>
              <w:t>1.548</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7DA4ABC">
            <w:pPr>
              <w:pStyle w:val="88"/>
              <w:widowControl/>
              <w:snapToGrid w:val="0"/>
              <w:spacing w:before="31" w:after="31"/>
              <w:rPr>
                <w:rFonts w:hint="default" w:hAnsi="Times New Roman" w:eastAsia="仿宋"/>
                <w:color w:val="000000"/>
                <w:szCs w:val="18"/>
                <w:lang w:val="en-US" w:eastAsia="zh-CN" w:bidi="ar"/>
              </w:rPr>
            </w:pPr>
            <w:r>
              <w:rPr>
                <w:rFonts w:hint="eastAsia" w:hAnsi="Times New Roman"/>
                <w:color w:val="000000"/>
                <w:szCs w:val="18"/>
                <w:lang w:val="en-US" w:eastAsia="zh-CN" w:bidi="ar"/>
              </w:rPr>
              <w:t>2.31</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40D148A7">
            <w:pPr>
              <w:pStyle w:val="88"/>
              <w:widowControl/>
              <w:snapToGrid w:val="0"/>
              <w:spacing w:before="31" w:after="31"/>
              <w:rPr>
                <w:rFonts w:hint="default" w:hAnsi="Times New Roman" w:eastAsia="仿宋"/>
                <w:color w:val="000000"/>
                <w:szCs w:val="18"/>
                <w:lang w:val="en-US" w:eastAsia="zh-CN" w:bidi="ar"/>
              </w:rPr>
            </w:pPr>
            <w:r>
              <w:rPr>
                <w:rFonts w:hint="eastAsia" w:hAnsi="Times New Roman"/>
                <w:color w:val="000000"/>
                <w:szCs w:val="18"/>
                <w:lang w:val="en-US" w:eastAsia="zh-CN" w:bidi="ar"/>
              </w:rPr>
              <w:t>3744</w:t>
            </w:r>
          </w:p>
        </w:tc>
      </w:tr>
      <w:tr w14:paraId="38EC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59902DCD">
            <w:pPr>
              <w:snapToGrid w:val="0"/>
              <w:spacing w:line="240" w:lineRule="auto"/>
              <w:ind w:firstLine="0" w:firstLineChars="0"/>
              <w:jc w:val="center"/>
              <w:rPr>
                <w:rFonts w:hAnsi="宋体" w:cs="宋体"/>
                <w:color w:val="000000"/>
                <w:sz w:val="21"/>
                <w:szCs w:val="24"/>
              </w:rPr>
            </w:pPr>
            <w:r>
              <w:rPr>
                <w:rFonts w:hint="eastAsia" w:hAnsi="宋体" w:cs="宋体"/>
                <w:color w:val="000000"/>
                <w:sz w:val="21"/>
                <w:szCs w:val="24"/>
              </w:rPr>
              <w:t>2</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4D86CD97">
            <w:pPr>
              <w:snapToGrid w:val="0"/>
              <w:spacing w:line="240" w:lineRule="auto"/>
              <w:ind w:firstLine="0" w:firstLineChars="0"/>
              <w:jc w:val="center"/>
              <w:rPr>
                <w:rFonts w:hint="default" w:hAnsi="宋体" w:eastAsia="仿宋" w:cs="宋体"/>
                <w:color w:val="000000"/>
                <w:sz w:val="21"/>
                <w:szCs w:val="24"/>
                <w:lang w:val="en-US" w:eastAsia="zh-CN"/>
              </w:rPr>
            </w:pPr>
            <w:r>
              <w:rPr>
                <w:rFonts w:hint="eastAsia" w:hAnsi="宋体" w:cs="宋体"/>
                <w:color w:val="000000"/>
                <w:sz w:val="21"/>
                <w:szCs w:val="24"/>
              </w:rPr>
              <w:t>臂节</w:t>
            </w:r>
            <w:r>
              <w:rPr>
                <w:rFonts w:hint="eastAsia" w:hAnsi="宋体" w:cs="宋体"/>
                <w:color w:val="000000"/>
                <w:sz w:val="21"/>
                <w:szCs w:val="24"/>
                <w:lang w:val="en-US" w:eastAsia="zh-CN"/>
              </w:rPr>
              <w:t>M2</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29DECE60">
            <w:pPr>
              <w:pStyle w:val="88"/>
              <w:widowControl/>
              <w:snapToGrid w:val="0"/>
              <w:spacing w:before="31" w:after="31"/>
              <w:rPr>
                <w:rFonts w:hint="default" w:hAnsi="Times New Roman"/>
                <w:color w:val="000000"/>
              </w:rPr>
            </w:pPr>
            <w:r>
              <w:rPr>
                <w:color w:val="000000"/>
              </w:rP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27149CBC">
            <w:pPr>
              <w:pStyle w:val="88"/>
              <w:widowControl/>
              <w:snapToGrid w:val="0"/>
              <w:spacing w:before="31" w:after="31"/>
              <w:rPr>
                <w:rFonts w:hint="eastAsia" w:eastAsia="仿宋"/>
                <w:color w:val="000000"/>
                <w:lang w:val="en-US" w:eastAsia="zh-CN"/>
              </w:rPr>
            </w:pPr>
            <w:r>
              <w:rPr>
                <w:rFonts w:hint="eastAsia"/>
                <w:color w:val="000000"/>
                <w:lang w:val="en-US" w:eastAsia="zh-CN"/>
              </w:rPr>
              <w:t>9</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188EF7F">
            <w:pPr>
              <w:snapToGrid w:val="0"/>
              <w:spacing w:line="240" w:lineRule="auto"/>
              <w:ind w:firstLine="0" w:firstLineChars="0"/>
              <w:jc w:val="center"/>
              <w:rPr>
                <w:rFonts w:hint="default" w:eastAsia="仿宋" w:cs="宋体"/>
                <w:color w:val="000000"/>
                <w:sz w:val="21"/>
                <w:lang w:val="en-US" w:eastAsia="zh-CN"/>
              </w:rPr>
            </w:pPr>
            <w:r>
              <w:rPr>
                <w:rFonts w:hint="eastAsia" w:cs="宋体"/>
                <w:color w:val="000000"/>
                <w:sz w:val="21"/>
                <w:lang w:val="en-US" w:eastAsia="zh-CN"/>
              </w:rPr>
              <w:t>1.495</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33F8D3F9">
            <w:pPr>
              <w:pStyle w:val="88"/>
              <w:widowControl/>
              <w:snapToGrid w:val="0"/>
              <w:spacing w:before="31" w:after="31"/>
              <w:rPr>
                <w:rFonts w:hint="default" w:eastAsia="仿宋"/>
                <w:color w:val="000000"/>
                <w:lang w:val="en-US" w:eastAsia="zh-CN"/>
              </w:rPr>
            </w:pPr>
            <w:r>
              <w:rPr>
                <w:rFonts w:hint="eastAsia"/>
                <w:color w:val="000000"/>
                <w:lang w:val="en-US" w:eastAsia="zh-CN"/>
              </w:rPr>
              <w:t>2.35</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19822630">
            <w:pPr>
              <w:pStyle w:val="88"/>
              <w:widowControl/>
              <w:snapToGrid w:val="0"/>
              <w:spacing w:before="31" w:after="31"/>
              <w:rPr>
                <w:rFonts w:hint="default" w:eastAsia="仿宋"/>
                <w:color w:val="000000"/>
                <w:lang w:val="en-US" w:eastAsia="zh-CN"/>
              </w:rPr>
            </w:pPr>
            <w:r>
              <w:rPr>
                <w:rFonts w:hint="eastAsia"/>
                <w:color w:val="000000"/>
                <w:lang w:val="en-US" w:eastAsia="zh-CN"/>
              </w:rPr>
              <w:t>5571</w:t>
            </w:r>
          </w:p>
        </w:tc>
      </w:tr>
      <w:tr w14:paraId="299B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39C80F35">
            <w:pPr>
              <w:snapToGrid w:val="0"/>
              <w:spacing w:line="240" w:lineRule="auto"/>
              <w:ind w:firstLine="0" w:firstLineChars="0"/>
              <w:jc w:val="center"/>
              <w:rPr>
                <w:rFonts w:hAnsi="宋体" w:cs="宋体"/>
                <w:color w:val="000000"/>
                <w:sz w:val="21"/>
                <w:szCs w:val="24"/>
              </w:rPr>
            </w:pPr>
            <w:r>
              <w:rPr>
                <w:rFonts w:hint="eastAsia" w:hAnsi="宋体" w:cs="宋体"/>
                <w:color w:val="000000"/>
                <w:sz w:val="21"/>
                <w:szCs w:val="24"/>
              </w:rPr>
              <w:t>3</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37A3F639">
            <w:pPr>
              <w:snapToGrid w:val="0"/>
              <w:spacing w:line="240" w:lineRule="auto"/>
              <w:ind w:firstLine="0" w:firstLineChars="0"/>
              <w:jc w:val="center"/>
              <w:rPr>
                <w:rFonts w:hint="default" w:hAnsi="宋体" w:eastAsia="仿宋" w:cs="宋体"/>
                <w:color w:val="000000"/>
                <w:sz w:val="21"/>
                <w:szCs w:val="24"/>
                <w:lang w:val="en-US" w:eastAsia="zh-CN"/>
              </w:rPr>
            </w:pPr>
            <w:r>
              <w:rPr>
                <w:rFonts w:hint="eastAsia" w:hAnsi="宋体" w:cs="宋体"/>
                <w:color w:val="000000"/>
                <w:sz w:val="21"/>
                <w:szCs w:val="24"/>
              </w:rPr>
              <w:t>臂节</w:t>
            </w:r>
            <w:r>
              <w:rPr>
                <w:rFonts w:hint="eastAsia" w:hAnsi="宋体" w:cs="宋体"/>
                <w:color w:val="000000"/>
                <w:sz w:val="21"/>
                <w:szCs w:val="24"/>
                <w:lang w:val="en-US" w:eastAsia="zh-CN"/>
              </w:rPr>
              <w:t>M3</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099F08B8">
            <w:pPr>
              <w:pStyle w:val="88"/>
              <w:widowControl/>
              <w:snapToGrid w:val="0"/>
              <w:spacing w:before="31" w:after="31"/>
              <w:rPr>
                <w:rFonts w:hint="default" w:hAnsi="Times New Roman"/>
                <w:color w:val="000000"/>
              </w:rPr>
            </w:pPr>
            <w:r>
              <w:rPr>
                <w:rFonts w:hAnsi="Times New Roman"/>
                <w:color w:val="000000"/>
              </w:rP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AE11F12">
            <w:pPr>
              <w:pStyle w:val="88"/>
              <w:widowControl/>
              <w:snapToGrid w:val="0"/>
              <w:spacing w:before="31" w:after="31"/>
              <w:rPr>
                <w:rFonts w:hint="default" w:eastAsia="仿宋"/>
                <w:color w:val="000000"/>
                <w:lang w:val="en-US" w:eastAsia="zh-CN"/>
              </w:rPr>
            </w:pPr>
            <w:r>
              <w:rPr>
                <w:rFonts w:hint="eastAsia"/>
                <w:color w:val="000000"/>
                <w:lang w:val="en-US" w:eastAsia="zh-CN"/>
              </w:rPr>
              <w:t>10</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3DF1738A">
            <w:pPr>
              <w:snapToGrid w:val="0"/>
              <w:spacing w:line="240" w:lineRule="auto"/>
              <w:ind w:firstLine="0" w:firstLineChars="0"/>
              <w:jc w:val="center"/>
              <w:rPr>
                <w:rFonts w:hint="default" w:eastAsia="仿宋" w:cs="宋体"/>
                <w:color w:val="000000"/>
                <w:sz w:val="21"/>
                <w:lang w:val="en-US" w:eastAsia="zh-CN"/>
              </w:rPr>
            </w:pPr>
            <w:r>
              <w:rPr>
                <w:rFonts w:hint="eastAsia" w:cs="宋体"/>
                <w:color w:val="000000"/>
                <w:sz w:val="21"/>
                <w:lang w:val="en-US" w:eastAsia="zh-CN"/>
              </w:rPr>
              <w:t>1.45</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723D4ED">
            <w:pPr>
              <w:pStyle w:val="88"/>
              <w:widowControl/>
              <w:snapToGrid w:val="0"/>
              <w:spacing w:before="31" w:after="31"/>
              <w:rPr>
                <w:rFonts w:hint="default" w:eastAsia="仿宋"/>
                <w:color w:val="000000"/>
                <w:lang w:val="en-US" w:eastAsia="zh-CN"/>
              </w:rPr>
            </w:pPr>
            <w:r>
              <w:rPr>
                <w:rFonts w:hint="eastAsia"/>
                <w:color w:val="000000"/>
                <w:lang w:val="en-US" w:eastAsia="zh-CN"/>
              </w:rPr>
              <w:t>2.3</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09D084E1">
            <w:pPr>
              <w:pStyle w:val="88"/>
              <w:widowControl/>
              <w:snapToGrid w:val="0"/>
              <w:spacing w:before="31" w:after="31"/>
              <w:rPr>
                <w:rFonts w:hint="default" w:eastAsia="仿宋"/>
                <w:color w:val="000000"/>
                <w:lang w:val="en-US" w:eastAsia="zh-CN"/>
              </w:rPr>
            </w:pPr>
            <w:r>
              <w:rPr>
                <w:rFonts w:hint="eastAsia"/>
                <w:color w:val="000000"/>
                <w:lang w:val="en-US" w:eastAsia="zh-CN"/>
              </w:rPr>
              <w:t>3618</w:t>
            </w:r>
          </w:p>
        </w:tc>
      </w:tr>
      <w:tr w14:paraId="2785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5779BEA3">
            <w:pPr>
              <w:snapToGrid w:val="0"/>
              <w:spacing w:line="240" w:lineRule="auto"/>
              <w:ind w:firstLine="0" w:firstLineChars="0"/>
              <w:jc w:val="center"/>
              <w:rPr>
                <w:rFonts w:hAnsi="宋体" w:cs="宋体"/>
                <w:color w:val="000000"/>
                <w:sz w:val="21"/>
                <w:szCs w:val="24"/>
              </w:rPr>
            </w:pPr>
            <w:r>
              <w:rPr>
                <w:rFonts w:hint="eastAsia" w:hAnsi="宋体" w:cs="宋体"/>
                <w:color w:val="000000"/>
                <w:sz w:val="21"/>
                <w:szCs w:val="24"/>
              </w:rPr>
              <w:t>4</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08F1B244">
            <w:pPr>
              <w:snapToGrid w:val="0"/>
              <w:spacing w:line="240" w:lineRule="auto"/>
              <w:ind w:firstLine="0" w:firstLineChars="0"/>
              <w:jc w:val="center"/>
              <w:rPr>
                <w:rFonts w:hint="default" w:hAnsi="宋体" w:eastAsia="仿宋" w:cs="宋体"/>
                <w:color w:val="000000"/>
                <w:sz w:val="21"/>
                <w:szCs w:val="24"/>
                <w:lang w:val="en-US" w:eastAsia="zh-CN"/>
              </w:rPr>
            </w:pPr>
            <w:r>
              <w:rPr>
                <w:rFonts w:hint="eastAsia" w:hAnsi="宋体" w:cs="宋体"/>
                <w:color w:val="000000"/>
                <w:sz w:val="21"/>
                <w:szCs w:val="24"/>
              </w:rPr>
              <w:t>臂节</w:t>
            </w:r>
            <w:r>
              <w:rPr>
                <w:rFonts w:hint="eastAsia" w:hAnsi="宋体" w:cs="宋体"/>
                <w:color w:val="000000"/>
                <w:sz w:val="21"/>
                <w:szCs w:val="24"/>
                <w:lang w:val="en-US" w:eastAsia="zh-CN"/>
              </w:rPr>
              <w:t>M4</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381A6378">
            <w:pPr>
              <w:pStyle w:val="88"/>
              <w:widowControl/>
              <w:snapToGrid w:val="0"/>
              <w:spacing w:before="31" w:after="31"/>
              <w:rPr>
                <w:rFonts w:hint="default" w:hAnsi="Times New Roman"/>
                <w:color w:val="000000"/>
              </w:rPr>
            </w:pPr>
            <w:r>
              <w:rPr>
                <w:color w:val="000000"/>
              </w:rP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79DA0BE0">
            <w:pPr>
              <w:pStyle w:val="88"/>
              <w:widowControl/>
              <w:snapToGrid w:val="0"/>
              <w:spacing w:before="31" w:after="31"/>
              <w:rPr>
                <w:rFonts w:hint="default" w:eastAsia="仿宋"/>
                <w:color w:val="000000"/>
                <w:lang w:val="en-US" w:eastAsia="zh-CN"/>
              </w:rPr>
            </w:pPr>
            <w:r>
              <w:rPr>
                <w:rFonts w:hint="eastAsia"/>
                <w:color w:val="000000"/>
                <w:lang w:val="en-US" w:eastAsia="zh-CN"/>
              </w:rPr>
              <w:t>10</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132952BC">
            <w:pPr>
              <w:snapToGrid w:val="0"/>
              <w:spacing w:line="240" w:lineRule="auto"/>
              <w:ind w:firstLine="0" w:firstLineChars="0"/>
              <w:jc w:val="center"/>
              <w:rPr>
                <w:rFonts w:hint="default" w:eastAsia="仿宋" w:cs="宋体"/>
                <w:color w:val="000000"/>
                <w:sz w:val="21"/>
                <w:lang w:val="en-US" w:eastAsia="zh-CN"/>
              </w:rPr>
            </w:pPr>
            <w:r>
              <w:rPr>
                <w:rFonts w:hint="eastAsia" w:cs="宋体"/>
                <w:color w:val="000000"/>
                <w:sz w:val="21"/>
                <w:lang w:val="en-US" w:eastAsia="zh-CN"/>
              </w:rPr>
              <w:t>1.45</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3971D151">
            <w:pPr>
              <w:pStyle w:val="88"/>
              <w:widowControl/>
              <w:snapToGrid w:val="0"/>
              <w:spacing w:before="31" w:after="31"/>
              <w:rPr>
                <w:rFonts w:hint="default" w:eastAsia="仿宋"/>
                <w:color w:val="000000"/>
                <w:lang w:val="en-US" w:eastAsia="zh-CN"/>
              </w:rPr>
            </w:pPr>
            <w:r>
              <w:rPr>
                <w:rFonts w:hint="eastAsia"/>
                <w:color w:val="000000"/>
                <w:lang w:val="en-US" w:eastAsia="zh-CN"/>
              </w:rPr>
              <w:t>2.3</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620418BB">
            <w:pPr>
              <w:pStyle w:val="88"/>
              <w:widowControl/>
              <w:snapToGrid w:val="0"/>
              <w:spacing w:before="31" w:after="31"/>
              <w:rPr>
                <w:rFonts w:hint="default" w:eastAsia="仿宋"/>
                <w:color w:val="000000"/>
                <w:lang w:val="en-US" w:eastAsia="zh-CN"/>
              </w:rPr>
            </w:pPr>
            <w:r>
              <w:rPr>
                <w:rFonts w:hint="eastAsia"/>
                <w:color w:val="000000"/>
                <w:lang w:val="en-US" w:eastAsia="zh-CN"/>
              </w:rPr>
              <w:t>2847</w:t>
            </w:r>
          </w:p>
        </w:tc>
      </w:tr>
      <w:tr w14:paraId="5AC5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09A6941C">
            <w:pPr>
              <w:snapToGrid w:val="0"/>
              <w:spacing w:line="240" w:lineRule="auto"/>
              <w:ind w:firstLine="0" w:firstLineChars="0"/>
              <w:jc w:val="center"/>
              <w:rPr>
                <w:rFonts w:hAnsi="宋体" w:cs="宋体"/>
                <w:color w:val="000000"/>
                <w:sz w:val="21"/>
                <w:szCs w:val="24"/>
              </w:rPr>
            </w:pPr>
            <w:r>
              <w:rPr>
                <w:rFonts w:hint="eastAsia" w:hAnsi="宋体" w:cs="宋体"/>
                <w:color w:val="000000"/>
                <w:sz w:val="21"/>
                <w:szCs w:val="24"/>
              </w:rPr>
              <w:t>5</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17E17EA6">
            <w:pPr>
              <w:snapToGrid w:val="0"/>
              <w:spacing w:line="240" w:lineRule="auto"/>
              <w:ind w:firstLine="0" w:firstLineChars="0"/>
              <w:jc w:val="center"/>
              <w:rPr>
                <w:rFonts w:hint="default" w:hAnsi="宋体" w:eastAsia="仿宋" w:cs="宋体"/>
                <w:color w:val="000000"/>
                <w:sz w:val="21"/>
                <w:szCs w:val="24"/>
                <w:lang w:val="en-US" w:eastAsia="zh-CN"/>
              </w:rPr>
            </w:pPr>
            <w:r>
              <w:rPr>
                <w:rFonts w:hint="eastAsia" w:hAnsi="宋体" w:cs="宋体"/>
                <w:color w:val="000000"/>
                <w:sz w:val="21"/>
                <w:szCs w:val="24"/>
              </w:rPr>
              <w:t>臂节</w:t>
            </w:r>
            <w:r>
              <w:rPr>
                <w:rFonts w:hint="eastAsia" w:hAnsi="宋体" w:cs="宋体"/>
                <w:color w:val="000000"/>
                <w:sz w:val="21"/>
                <w:szCs w:val="24"/>
                <w:lang w:val="en-US" w:eastAsia="zh-CN"/>
              </w:rPr>
              <w:t>M5</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30F5F03E">
            <w:pPr>
              <w:pStyle w:val="88"/>
              <w:widowControl/>
              <w:snapToGrid w:val="0"/>
              <w:spacing w:before="31" w:after="31"/>
              <w:rPr>
                <w:rFonts w:hint="default" w:hAnsi="Times New Roman"/>
                <w:color w:val="000000"/>
              </w:rPr>
            </w:pPr>
            <w:r>
              <w:rPr>
                <w:color w:val="000000"/>
              </w:rP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7DA3520B">
            <w:pPr>
              <w:pStyle w:val="88"/>
              <w:widowControl/>
              <w:snapToGrid w:val="0"/>
              <w:spacing w:before="31" w:after="31"/>
              <w:rPr>
                <w:rFonts w:hint="default" w:eastAsia="仿宋"/>
                <w:color w:val="000000"/>
                <w:lang w:val="en-US" w:eastAsia="zh-CN"/>
              </w:rPr>
            </w:pPr>
            <w:r>
              <w:rPr>
                <w:rFonts w:hint="eastAsia"/>
                <w:color w:val="000000"/>
                <w:lang w:val="en-US" w:eastAsia="zh-CN"/>
              </w:rPr>
              <w:t>10</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027108A9">
            <w:pPr>
              <w:snapToGrid w:val="0"/>
              <w:spacing w:line="240" w:lineRule="auto"/>
              <w:ind w:firstLine="0" w:firstLineChars="0"/>
              <w:jc w:val="center"/>
              <w:rPr>
                <w:rFonts w:hint="default" w:eastAsia="仿宋" w:cs="宋体"/>
                <w:color w:val="000000"/>
                <w:sz w:val="21"/>
                <w:lang w:val="en-US" w:eastAsia="zh-CN"/>
              </w:rPr>
            </w:pPr>
            <w:r>
              <w:rPr>
                <w:rFonts w:hint="eastAsia" w:cs="宋体"/>
                <w:color w:val="000000"/>
                <w:sz w:val="21"/>
                <w:lang w:val="en-US" w:eastAsia="zh-CN"/>
              </w:rPr>
              <w:t>4.48</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162CFC86">
            <w:pPr>
              <w:pStyle w:val="88"/>
              <w:widowControl/>
              <w:snapToGrid w:val="0"/>
              <w:spacing w:before="31" w:after="31"/>
              <w:rPr>
                <w:rFonts w:hint="default" w:eastAsia="仿宋"/>
                <w:color w:val="000000"/>
                <w:lang w:val="en-US" w:eastAsia="zh-CN"/>
              </w:rPr>
            </w:pPr>
            <w:r>
              <w:rPr>
                <w:rFonts w:hint="eastAsia"/>
                <w:color w:val="000000"/>
                <w:lang w:val="en-US" w:eastAsia="zh-CN"/>
              </w:rPr>
              <w:t>2.3</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33D64DD8">
            <w:pPr>
              <w:pStyle w:val="88"/>
              <w:widowControl/>
              <w:snapToGrid w:val="0"/>
              <w:spacing w:before="31" w:after="31"/>
              <w:rPr>
                <w:rFonts w:hint="default" w:eastAsia="仿宋"/>
                <w:color w:val="000000"/>
                <w:lang w:val="en-US" w:eastAsia="zh-CN"/>
              </w:rPr>
            </w:pPr>
            <w:r>
              <w:rPr>
                <w:rFonts w:hint="eastAsia"/>
                <w:color w:val="000000"/>
                <w:lang w:val="en-US" w:eastAsia="zh-CN"/>
              </w:rPr>
              <w:t>2505</w:t>
            </w:r>
          </w:p>
        </w:tc>
      </w:tr>
      <w:tr w14:paraId="5825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73CEB4D8">
            <w:pPr>
              <w:snapToGrid w:val="0"/>
              <w:spacing w:line="240" w:lineRule="auto"/>
              <w:ind w:firstLine="0" w:firstLineChars="0"/>
              <w:jc w:val="center"/>
              <w:rPr>
                <w:rFonts w:hAnsi="宋体" w:cs="宋体"/>
                <w:color w:val="000000"/>
                <w:sz w:val="21"/>
                <w:szCs w:val="24"/>
              </w:rPr>
            </w:pPr>
            <w:r>
              <w:rPr>
                <w:rFonts w:hint="eastAsia" w:hAnsi="宋体" w:cs="宋体"/>
                <w:color w:val="000000"/>
                <w:sz w:val="21"/>
                <w:szCs w:val="24"/>
              </w:rPr>
              <w:t>6</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7A3781B3">
            <w:pPr>
              <w:snapToGrid w:val="0"/>
              <w:spacing w:line="240" w:lineRule="auto"/>
              <w:ind w:firstLine="0" w:firstLineChars="0"/>
              <w:jc w:val="center"/>
              <w:rPr>
                <w:rFonts w:hint="default" w:hAnsi="宋体" w:eastAsia="仿宋" w:cs="宋体"/>
                <w:color w:val="000000"/>
                <w:sz w:val="21"/>
                <w:szCs w:val="24"/>
                <w:lang w:val="en-US" w:eastAsia="zh-CN"/>
              </w:rPr>
            </w:pPr>
            <w:r>
              <w:rPr>
                <w:rFonts w:hint="eastAsia" w:hAnsi="宋体" w:cs="宋体"/>
                <w:color w:val="000000"/>
                <w:sz w:val="21"/>
                <w:szCs w:val="24"/>
              </w:rPr>
              <w:t>臂节</w:t>
            </w:r>
            <w:r>
              <w:rPr>
                <w:rFonts w:hint="eastAsia" w:hAnsi="宋体" w:cs="宋体"/>
                <w:color w:val="000000"/>
                <w:sz w:val="21"/>
                <w:szCs w:val="24"/>
                <w:lang w:val="en-US" w:eastAsia="zh-CN"/>
              </w:rPr>
              <w:t>M6</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7E976726">
            <w:pPr>
              <w:pStyle w:val="88"/>
              <w:widowControl/>
              <w:snapToGrid w:val="0"/>
              <w:spacing w:before="31" w:after="31"/>
              <w:rPr>
                <w:rFonts w:hint="default" w:hAnsi="Times New Roman"/>
                <w:color w:val="000000"/>
              </w:rPr>
            </w:pPr>
            <w:r>
              <w:rPr>
                <w:rFonts w:hAnsi="Times New Roman"/>
                <w:color w:val="000000"/>
              </w:rP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1BE62EFA">
            <w:pPr>
              <w:pStyle w:val="88"/>
              <w:widowControl/>
              <w:snapToGrid w:val="0"/>
              <w:spacing w:before="31" w:after="31"/>
              <w:rPr>
                <w:rFonts w:hint="eastAsia" w:eastAsia="仿宋"/>
                <w:color w:val="000000"/>
                <w:lang w:val="en-US" w:eastAsia="zh-CN"/>
              </w:rPr>
            </w:pPr>
            <w:r>
              <w:rPr>
                <w:rFonts w:hint="eastAsia"/>
                <w:color w:val="000000"/>
                <w:lang w:val="en-US" w:eastAsia="zh-CN"/>
              </w:rPr>
              <w:t>5</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17855B0C">
            <w:pPr>
              <w:snapToGrid w:val="0"/>
              <w:spacing w:line="240" w:lineRule="auto"/>
              <w:ind w:firstLine="0" w:firstLineChars="0"/>
              <w:jc w:val="center"/>
              <w:rPr>
                <w:rFonts w:hint="default" w:eastAsia="仿宋" w:cs="宋体"/>
                <w:color w:val="000000"/>
                <w:sz w:val="21"/>
                <w:lang w:val="en-US" w:eastAsia="zh-CN"/>
              </w:rPr>
            </w:pPr>
            <w:r>
              <w:rPr>
                <w:rFonts w:hint="eastAsia" w:cs="宋体"/>
                <w:color w:val="000000"/>
                <w:sz w:val="21"/>
                <w:lang w:val="en-US" w:eastAsia="zh-CN"/>
              </w:rPr>
              <w:t>1.45</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0D61EE0A">
            <w:pPr>
              <w:pStyle w:val="88"/>
              <w:widowControl/>
              <w:snapToGrid w:val="0"/>
              <w:spacing w:before="31" w:after="31"/>
              <w:rPr>
                <w:rFonts w:hint="default" w:eastAsia="仿宋"/>
                <w:color w:val="000000"/>
                <w:lang w:val="en-US" w:eastAsia="zh-CN"/>
              </w:rPr>
            </w:pPr>
            <w:r>
              <w:rPr>
                <w:rFonts w:hint="eastAsia"/>
                <w:color w:val="000000"/>
                <w:lang w:val="en-US" w:eastAsia="zh-CN"/>
              </w:rPr>
              <w:t>1.9</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4C9B092B">
            <w:pPr>
              <w:pStyle w:val="88"/>
              <w:widowControl/>
              <w:snapToGrid w:val="0"/>
              <w:spacing w:before="31" w:after="31"/>
              <w:rPr>
                <w:rFonts w:hint="default" w:eastAsia="仿宋"/>
                <w:color w:val="000000"/>
                <w:lang w:val="en-US" w:eastAsia="zh-CN"/>
              </w:rPr>
            </w:pPr>
            <w:r>
              <w:rPr>
                <w:rFonts w:hint="eastAsia"/>
                <w:color w:val="000000"/>
                <w:lang w:val="en-US" w:eastAsia="zh-CN"/>
              </w:rPr>
              <w:t>1119</w:t>
            </w:r>
          </w:p>
        </w:tc>
      </w:tr>
      <w:tr w14:paraId="464D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2EFA2BC7">
            <w:pPr>
              <w:snapToGrid w:val="0"/>
              <w:spacing w:line="240" w:lineRule="auto"/>
              <w:ind w:firstLine="0" w:firstLineChars="0"/>
              <w:jc w:val="center"/>
              <w:rPr>
                <w:rFonts w:hAnsi="宋体" w:cs="宋体"/>
                <w:color w:val="000000"/>
                <w:sz w:val="21"/>
                <w:szCs w:val="24"/>
              </w:rPr>
            </w:pPr>
            <w:r>
              <w:rPr>
                <w:rFonts w:hint="eastAsia" w:hAnsi="宋体" w:cs="宋体"/>
                <w:color w:val="000000"/>
                <w:sz w:val="21"/>
                <w:szCs w:val="24"/>
              </w:rPr>
              <w:t>7</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7A96B958">
            <w:pPr>
              <w:snapToGrid w:val="0"/>
              <w:spacing w:line="240" w:lineRule="auto"/>
              <w:ind w:firstLine="0" w:firstLineChars="0"/>
              <w:jc w:val="center"/>
              <w:rPr>
                <w:rFonts w:hAnsi="宋体" w:cs="宋体"/>
                <w:color w:val="000000"/>
                <w:sz w:val="21"/>
                <w:szCs w:val="24"/>
              </w:rPr>
            </w:pPr>
            <w:r>
              <w:rPr>
                <w:rFonts w:hint="eastAsia" w:hAnsi="宋体" w:cs="宋体"/>
                <w:color w:val="000000"/>
                <w:sz w:val="21"/>
                <w:szCs w:val="24"/>
              </w:rPr>
              <w:t>臂尖节</w:t>
            </w:r>
          </w:p>
        </w:tc>
        <w:tc>
          <w:tcPr>
            <w:tcW w:w="834" w:type="dxa"/>
            <w:tcBorders>
              <w:top w:val="single" w:color="auto" w:sz="4" w:space="0"/>
              <w:left w:val="single" w:color="auto" w:sz="4" w:space="0"/>
              <w:bottom w:val="single" w:color="auto" w:sz="4" w:space="0"/>
              <w:right w:val="single" w:color="auto" w:sz="4" w:space="0"/>
            </w:tcBorders>
            <w:noWrap w:val="0"/>
            <w:vAlign w:val="center"/>
          </w:tcPr>
          <w:p w14:paraId="7C609D72">
            <w:pPr>
              <w:pStyle w:val="88"/>
              <w:widowControl/>
              <w:snapToGrid w:val="0"/>
              <w:spacing w:before="31" w:after="31"/>
              <w:rPr>
                <w:rFonts w:hint="default" w:hAnsi="Times New Roman"/>
                <w:color w:val="000000"/>
              </w:rPr>
            </w:pPr>
            <w:r>
              <w:rPr>
                <w:rFonts w:hAnsi="Times New Roman"/>
                <w:color w:val="000000"/>
              </w:rP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657B338">
            <w:pPr>
              <w:pStyle w:val="88"/>
              <w:widowControl/>
              <w:snapToGrid w:val="0"/>
              <w:spacing w:before="31" w:after="31"/>
              <w:rPr>
                <w:rFonts w:hint="eastAsia" w:eastAsia="仿宋"/>
                <w:color w:val="000000"/>
                <w:lang w:val="en-US" w:eastAsia="zh-CN"/>
              </w:rPr>
            </w:pPr>
            <w:r>
              <w:rPr>
                <w:rFonts w:hint="eastAsia"/>
                <w:color w:val="000000"/>
                <w:lang w:val="en-US" w:eastAsia="zh-CN"/>
              </w:rPr>
              <w:t>5</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5D8C3C5F">
            <w:pPr>
              <w:snapToGrid w:val="0"/>
              <w:spacing w:line="240" w:lineRule="auto"/>
              <w:ind w:firstLine="0" w:firstLineChars="0"/>
              <w:jc w:val="center"/>
              <w:rPr>
                <w:rFonts w:hint="default" w:eastAsia="仿宋" w:cs="宋体"/>
                <w:color w:val="000000"/>
                <w:sz w:val="21"/>
                <w:lang w:val="en-US" w:eastAsia="zh-CN"/>
              </w:rPr>
            </w:pPr>
            <w:r>
              <w:rPr>
                <w:rFonts w:hint="eastAsia" w:cs="宋体"/>
                <w:color w:val="000000"/>
                <w:sz w:val="21"/>
                <w:lang w:val="en-US" w:eastAsia="zh-CN"/>
              </w:rPr>
              <w:t>1.45</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0C8A8710">
            <w:pPr>
              <w:pStyle w:val="88"/>
              <w:widowControl/>
              <w:snapToGrid w:val="0"/>
              <w:spacing w:before="31" w:after="31"/>
              <w:rPr>
                <w:rFonts w:hint="default" w:eastAsia="仿宋"/>
                <w:color w:val="000000"/>
                <w:lang w:val="en-US" w:eastAsia="zh-CN"/>
              </w:rPr>
            </w:pPr>
            <w:r>
              <w:rPr>
                <w:rFonts w:hint="eastAsia"/>
                <w:color w:val="000000"/>
                <w:lang w:val="en-US" w:eastAsia="zh-CN"/>
              </w:rPr>
              <w:t>1.535</w:t>
            </w:r>
          </w:p>
        </w:tc>
        <w:tc>
          <w:tcPr>
            <w:tcW w:w="2214" w:type="dxa"/>
            <w:tcBorders>
              <w:top w:val="single" w:color="auto" w:sz="4" w:space="0"/>
              <w:left w:val="single" w:color="auto" w:sz="4" w:space="0"/>
              <w:bottom w:val="single" w:color="auto" w:sz="4" w:space="0"/>
              <w:right w:val="single" w:color="auto" w:sz="4" w:space="0"/>
            </w:tcBorders>
            <w:noWrap w:val="0"/>
            <w:vAlign w:val="center"/>
          </w:tcPr>
          <w:p w14:paraId="52CE5321">
            <w:pPr>
              <w:pStyle w:val="88"/>
              <w:widowControl/>
              <w:snapToGrid w:val="0"/>
              <w:spacing w:before="31" w:after="31"/>
              <w:rPr>
                <w:rFonts w:hint="default" w:eastAsia="仿宋"/>
                <w:color w:val="000000"/>
                <w:lang w:val="en-US" w:eastAsia="zh-CN"/>
              </w:rPr>
            </w:pPr>
            <w:r>
              <w:rPr>
                <w:rFonts w:hint="eastAsia"/>
                <w:color w:val="000000"/>
                <w:lang w:val="en-US" w:eastAsia="zh-CN"/>
              </w:rPr>
              <w:t>160</w:t>
            </w:r>
          </w:p>
        </w:tc>
      </w:tr>
    </w:tbl>
    <w:p w14:paraId="5FEC35AE">
      <w:pPr>
        <w:numPr>
          <w:ilvl w:val="0"/>
          <w:numId w:val="3"/>
        </w:numPr>
        <w:ind w:firstLineChars="0"/>
        <w:rPr>
          <w:color w:val="000000"/>
        </w:rPr>
      </w:pPr>
      <w:r>
        <w:rPr>
          <w:rFonts w:hint="eastAsia"/>
          <w:color w:val="000000"/>
        </w:rPr>
        <w:t>起重臂采用分节拆除，</w:t>
      </w:r>
      <w:r>
        <w:rPr>
          <w:rFonts w:hint="eastAsia"/>
          <w:color w:val="000000"/>
          <w:lang w:val="en-US" w:eastAsia="zh-CN"/>
        </w:rPr>
        <w:t>先拆除臂节3到臂节6，臂节5、6及臂尖节整体吊，</w:t>
      </w:r>
      <w:r>
        <w:rPr>
          <w:rFonts w:hint="eastAsia"/>
          <w:color w:val="000000"/>
        </w:rPr>
        <w:t>最重一节重量为</w:t>
      </w:r>
      <w:r>
        <w:rPr>
          <w:rFonts w:hint="eastAsia"/>
          <w:color w:val="000000"/>
          <w:lang w:val="en-US" w:eastAsia="zh-CN"/>
        </w:rPr>
        <w:t>臂节5、6及臂尖节3.784</w:t>
      </w:r>
      <w:r>
        <w:rPr>
          <w:rFonts w:hint="eastAsia"/>
          <w:color w:val="000000"/>
        </w:rPr>
        <w:t>t。</w:t>
      </w:r>
      <w:r>
        <w:rPr>
          <w:rFonts w:hint="eastAsia"/>
          <w:color w:val="000000"/>
          <w:lang w:eastAsia="zh-CN"/>
        </w:rPr>
        <w:t>100t</w:t>
      </w:r>
      <w:r>
        <w:rPr>
          <w:rFonts w:hint="eastAsia"/>
          <w:color w:val="000000"/>
        </w:rPr>
        <w:t>汽车吊主臂长</w:t>
      </w:r>
      <w:r>
        <w:rPr>
          <w:rFonts w:hint="eastAsia"/>
          <w:color w:val="000000"/>
          <w:lang w:val="en-US" w:eastAsia="zh-CN"/>
        </w:rPr>
        <w:t>43.5</w:t>
      </w:r>
      <w:r>
        <w:rPr>
          <w:rFonts w:hint="eastAsia"/>
          <w:color w:val="000000"/>
        </w:rPr>
        <w:t>m，</w:t>
      </w:r>
      <w:r>
        <w:rPr>
          <w:rFonts w:hint="eastAsia"/>
          <w:color w:val="000000"/>
          <w:lang w:val="en-US" w:eastAsia="zh-CN"/>
        </w:rPr>
        <w:t>吊幅18</w:t>
      </w:r>
      <w:r>
        <w:rPr>
          <w:rFonts w:hint="eastAsia"/>
          <w:color w:val="000000"/>
        </w:rPr>
        <w:t>m，额定起重量为</w:t>
      </w:r>
      <w:r>
        <w:rPr>
          <w:rFonts w:hint="eastAsia"/>
          <w:color w:val="000000"/>
          <w:lang w:val="en-US" w:eastAsia="zh-CN"/>
        </w:rPr>
        <w:t>15</w:t>
      </w:r>
      <w:r>
        <w:rPr>
          <w:rFonts w:hint="eastAsia"/>
          <w:color w:val="000000"/>
          <w:lang w:eastAsia="zh-CN"/>
        </w:rPr>
        <w:t>t</w:t>
      </w:r>
      <w:r>
        <w:rPr>
          <w:rFonts w:hint="eastAsia"/>
          <w:color w:val="000000"/>
        </w:rPr>
        <w:t>&gt;</w:t>
      </w:r>
      <w:r>
        <w:rPr>
          <w:rFonts w:hint="eastAsia"/>
          <w:color w:val="000000"/>
          <w:lang w:val="en-US" w:eastAsia="zh-CN"/>
        </w:rPr>
        <w:t>3.784</w:t>
      </w:r>
      <w:r>
        <w:rPr>
          <w:rFonts w:hint="eastAsia"/>
          <w:color w:val="000000"/>
        </w:rPr>
        <w:t>t，满足拆除吊装要求。</w:t>
      </w:r>
    </w:p>
    <w:p w14:paraId="2B13B40B">
      <w:pPr>
        <w:numPr>
          <w:ilvl w:val="0"/>
          <w:numId w:val="3"/>
        </w:numPr>
        <w:ind w:firstLineChars="0"/>
        <w:rPr>
          <w:color w:val="000000"/>
        </w:rPr>
      </w:pPr>
      <w:r>
        <w:rPr>
          <w:rFonts w:hint="eastAsia"/>
          <w:color w:val="000000"/>
        </w:rPr>
        <w:t>起重臂吊装采用两点吊</w:t>
      </w:r>
      <w:r>
        <w:rPr>
          <w:rFonts w:hint="eastAsia"/>
          <w:color w:val="000000"/>
          <w:lang w:eastAsia="zh-CN"/>
        </w:rPr>
        <w:t>（</w:t>
      </w:r>
      <w:r>
        <w:rPr>
          <w:rFonts w:hint="eastAsia"/>
          <w:color w:val="000000"/>
          <w:lang w:val="en-US" w:eastAsia="zh-CN"/>
        </w:rPr>
        <w:t>起重臂上主弦杆</w:t>
      </w:r>
      <w:r>
        <w:rPr>
          <w:rFonts w:hint="eastAsia"/>
          <w:color w:val="000000"/>
          <w:lang w:eastAsia="zh-CN"/>
        </w:rPr>
        <w:t>）</w:t>
      </w:r>
      <w:r>
        <w:rPr>
          <w:rFonts w:hint="eastAsia"/>
          <w:color w:val="000000"/>
        </w:rPr>
        <w:t>，采用</w:t>
      </w:r>
      <w:r>
        <w:rPr>
          <w:rFonts w:hint="eastAsia"/>
          <w:color w:val="000000"/>
          <w:lang w:eastAsia="zh-CN"/>
        </w:rPr>
        <w:t>2根22mm6×19S+FC1870Mpa</w:t>
      </w:r>
      <w:r>
        <w:rPr>
          <w:rFonts w:hint="eastAsia"/>
          <w:color w:val="000000"/>
        </w:rPr>
        <w:t>的钢丝绳配套GB/T 25854-6-DW5卸扣进行起吊，</w:t>
      </w:r>
      <w:r>
        <w:rPr>
          <w:rFonts w:hint="eastAsia"/>
          <w:color w:val="000000"/>
          <w:lang w:eastAsia="zh-CN"/>
        </w:rPr>
        <w:t>100t</w:t>
      </w:r>
      <w:r>
        <w:rPr>
          <w:rFonts w:hint="eastAsia"/>
          <w:color w:val="000000"/>
        </w:rPr>
        <w:t>汽车吊站位图如下：</w:t>
      </w:r>
    </w:p>
    <w:p w14:paraId="355CC207">
      <w:pPr>
        <w:widowControl w:val="0"/>
        <w:spacing w:line="240" w:lineRule="auto"/>
        <w:ind w:firstLine="0" w:firstLineChars="0"/>
        <w:jc w:val="center"/>
      </w:pPr>
      <w:r>
        <w:drawing>
          <wp:inline distT="0" distB="0" distL="114300" distR="114300">
            <wp:extent cx="4886325" cy="3701415"/>
            <wp:effectExtent l="0" t="0" r="9525" b="13335"/>
            <wp:docPr id="5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1"/>
                    <pic:cNvPicPr>
                      <a:picLocks noChangeAspect="1"/>
                    </pic:cNvPicPr>
                  </pic:nvPicPr>
                  <pic:blipFill>
                    <a:blip r:embed="rId43"/>
                    <a:stretch>
                      <a:fillRect/>
                    </a:stretch>
                  </pic:blipFill>
                  <pic:spPr>
                    <a:xfrm>
                      <a:off x="0" y="0"/>
                      <a:ext cx="4886325" cy="3701415"/>
                    </a:xfrm>
                    <a:prstGeom prst="rect">
                      <a:avLst/>
                    </a:prstGeom>
                    <a:noFill/>
                    <a:ln>
                      <a:noFill/>
                    </a:ln>
                  </pic:spPr>
                </pic:pic>
              </a:graphicData>
            </a:graphic>
          </wp:inline>
        </w:drawing>
      </w:r>
      <w:r>
        <w:drawing>
          <wp:inline distT="0" distB="0" distL="114300" distR="114300">
            <wp:extent cx="5936615" cy="3249295"/>
            <wp:effectExtent l="0" t="0" r="6985" b="8255"/>
            <wp:docPr id="5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8"/>
                    <pic:cNvPicPr>
                      <a:picLocks noChangeAspect="1"/>
                    </pic:cNvPicPr>
                  </pic:nvPicPr>
                  <pic:blipFill>
                    <a:blip r:embed="rId44"/>
                    <a:stretch>
                      <a:fillRect/>
                    </a:stretch>
                  </pic:blipFill>
                  <pic:spPr>
                    <a:xfrm>
                      <a:off x="0" y="0"/>
                      <a:ext cx="5936615" cy="3249295"/>
                    </a:xfrm>
                    <a:prstGeom prst="rect">
                      <a:avLst/>
                    </a:prstGeom>
                    <a:noFill/>
                    <a:ln>
                      <a:noFill/>
                    </a:ln>
                  </pic:spPr>
                </pic:pic>
              </a:graphicData>
            </a:graphic>
          </wp:inline>
        </w:drawing>
      </w:r>
    </w:p>
    <w:p w14:paraId="467F9D7D">
      <w:pPr>
        <w:widowControl w:val="0"/>
        <w:spacing w:line="240" w:lineRule="auto"/>
        <w:ind w:firstLine="0" w:firstLineChars="0"/>
        <w:jc w:val="center"/>
      </w:pPr>
      <w:r>
        <w:drawing>
          <wp:inline distT="0" distB="0" distL="114300" distR="114300">
            <wp:extent cx="5939155" cy="3688080"/>
            <wp:effectExtent l="0" t="0" r="4445" b="7620"/>
            <wp:docPr id="5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2"/>
                    <pic:cNvPicPr>
                      <a:picLocks noChangeAspect="1"/>
                    </pic:cNvPicPr>
                  </pic:nvPicPr>
                  <pic:blipFill>
                    <a:blip r:embed="rId45"/>
                    <a:stretch>
                      <a:fillRect/>
                    </a:stretch>
                  </pic:blipFill>
                  <pic:spPr>
                    <a:xfrm>
                      <a:off x="0" y="0"/>
                      <a:ext cx="5939155" cy="3688080"/>
                    </a:xfrm>
                    <a:prstGeom prst="rect">
                      <a:avLst/>
                    </a:prstGeom>
                    <a:noFill/>
                    <a:ln>
                      <a:noFill/>
                    </a:ln>
                  </pic:spPr>
                </pic:pic>
              </a:graphicData>
            </a:graphic>
          </wp:inline>
        </w:drawing>
      </w:r>
      <w:r>
        <w:drawing>
          <wp:inline distT="0" distB="0" distL="114300" distR="114300">
            <wp:extent cx="5934075" cy="3701415"/>
            <wp:effectExtent l="0" t="0" r="9525" b="13335"/>
            <wp:docPr id="5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9"/>
                    <pic:cNvPicPr>
                      <a:picLocks noChangeAspect="1"/>
                    </pic:cNvPicPr>
                  </pic:nvPicPr>
                  <pic:blipFill>
                    <a:blip r:embed="rId46"/>
                    <a:stretch>
                      <a:fillRect/>
                    </a:stretch>
                  </pic:blipFill>
                  <pic:spPr>
                    <a:xfrm>
                      <a:off x="0" y="0"/>
                      <a:ext cx="5934075" cy="3701415"/>
                    </a:xfrm>
                    <a:prstGeom prst="rect">
                      <a:avLst/>
                    </a:prstGeom>
                    <a:noFill/>
                    <a:ln>
                      <a:noFill/>
                    </a:ln>
                  </pic:spPr>
                </pic:pic>
              </a:graphicData>
            </a:graphic>
          </wp:inline>
        </w:drawing>
      </w:r>
      <w:r>
        <w:drawing>
          <wp:inline distT="0" distB="0" distL="114300" distR="114300">
            <wp:extent cx="5936615" cy="4151630"/>
            <wp:effectExtent l="0" t="0" r="6985" b="1270"/>
            <wp:docPr id="5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3"/>
                    <pic:cNvPicPr>
                      <a:picLocks noChangeAspect="1"/>
                    </pic:cNvPicPr>
                  </pic:nvPicPr>
                  <pic:blipFill>
                    <a:blip r:embed="rId47"/>
                    <a:stretch>
                      <a:fillRect/>
                    </a:stretch>
                  </pic:blipFill>
                  <pic:spPr>
                    <a:xfrm>
                      <a:off x="0" y="0"/>
                      <a:ext cx="5936615" cy="4151630"/>
                    </a:xfrm>
                    <a:prstGeom prst="rect">
                      <a:avLst/>
                    </a:prstGeom>
                    <a:noFill/>
                    <a:ln>
                      <a:noFill/>
                    </a:ln>
                  </pic:spPr>
                </pic:pic>
              </a:graphicData>
            </a:graphic>
          </wp:inline>
        </w:drawing>
      </w:r>
      <w:r>
        <w:drawing>
          <wp:inline distT="0" distB="0" distL="114300" distR="114300">
            <wp:extent cx="5605145" cy="3966845"/>
            <wp:effectExtent l="0" t="0" r="14605" b="14605"/>
            <wp:docPr id="5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0"/>
                    <pic:cNvPicPr>
                      <a:picLocks noChangeAspect="1"/>
                    </pic:cNvPicPr>
                  </pic:nvPicPr>
                  <pic:blipFill>
                    <a:blip r:embed="rId48"/>
                    <a:stretch>
                      <a:fillRect/>
                    </a:stretch>
                  </pic:blipFill>
                  <pic:spPr>
                    <a:xfrm>
                      <a:off x="0" y="0"/>
                      <a:ext cx="5605145" cy="3966845"/>
                    </a:xfrm>
                    <a:prstGeom prst="rect">
                      <a:avLst/>
                    </a:prstGeom>
                    <a:noFill/>
                    <a:ln>
                      <a:noFill/>
                    </a:ln>
                  </pic:spPr>
                </pic:pic>
              </a:graphicData>
            </a:graphic>
          </wp:inline>
        </w:drawing>
      </w:r>
    </w:p>
    <w:p w14:paraId="3C061C4E">
      <w:pPr>
        <w:ind w:firstLine="0" w:firstLineChars="0"/>
        <w:jc w:val="center"/>
        <w:rPr>
          <w:b/>
          <w:color w:val="000000"/>
          <w:sz w:val="21"/>
          <w:szCs w:val="21"/>
        </w:rPr>
      </w:pPr>
      <w:r>
        <w:rPr>
          <w:rFonts w:hint="eastAsia"/>
          <w:b/>
          <w:color w:val="000000"/>
          <w:sz w:val="21"/>
          <w:szCs w:val="21"/>
        </w:rPr>
        <w:t xml:space="preserve">图 </w:t>
      </w:r>
      <w:r>
        <w:rPr>
          <w:rFonts w:hint="eastAsia"/>
          <w:b/>
          <w:color w:val="000000"/>
          <w:sz w:val="21"/>
          <w:szCs w:val="21"/>
        </w:rPr>
        <w:fldChar w:fldCharType="begin"/>
      </w:r>
      <w:r>
        <w:rPr>
          <w:rFonts w:hint="eastAsia"/>
          <w:b/>
          <w:color w:val="000000"/>
          <w:sz w:val="21"/>
          <w:szCs w:val="21"/>
        </w:rPr>
        <w:instrText xml:space="preserve"> STYLEREF 2 \s </w:instrText>
      </w:r>
      <w:r>
        <w:rPr>
          <w:rFonts w:hint="eastAsia"/>
          <w:b/>
          <w:color w:val="000000"/>
          <w:sz w:val="21"/>
          <w:szCs w:val="21"/>
        </w:rPr>
        <w:fldChar w:fldCharType="separate"/>
      </w:r>
      <w:r>
        <w:rPr>
          <w:rFonts w:hint="eastAsia"/>
          <w:b/>
          <w:color w:val="000000"/>
          <w:sz w:val="21"/>
          <w:szCs w:val="21"/>
        </w:rPr>
        <w:t>5.2</w:t>
      </w:r>
      <w:r>
        <w:rPr>
          <w:rFonts w:hint="eastAsia"/>
          <w:b/>
          <w:color w:val="000000"/>
          <w:sz w:val="21"/>
          <w:szCs w:val="21"/>
        </w:rPr>
        <w:fldChar w:fldCharType="end"/>
      </w:r>
      <w:r>
        <w:rPr>
          <w:rFonts w:hint="eastAsia"/>
          <w:b/>
          <w:color w:val="000000"/>
          <w:sz w:val="21"/>
          <w:szCs w:val="21"/>
        </w:rPr>
        <w:t>-</w:t>
      </w:r>
      <w:r>
        <w:rPr>
          <w:rFonts w:hint="eastAsia"/>
          <w:b/>
          <w:color w:val="000000"/>
          <w:sz w:val="21"/>
          <w:szCs w:val="21"/>
        </w:rPr>
        <w:fldChar w:fldCharType="begin"/>
      </w:r>
      <w:r>
        <w:rPr>
          <w:rFonts w:hint="eastAsia"/>
          <w:b/>
          <w:color w:val="000000"/>
          <w:sz w:val="21"/>
          <w:szCs w:val="21"/>
        </w:rPr>
        <w:instrText xml:space="preserve"> SEQ 图 \* ARABIC \s 2 </w:instrText>
      </w:r>
      <w:r>
        <w:rPr>
          <w:rFonts w:hint="eastAsia"/>
          <w:b/>
          <w:color w:val="000000"/>
          <w:sz w:val="21"/>
          <w:szCs w:val="21"/>
        </w:rPr>
        <w:fldChar w:fldCharType="separate"/>
      </w:r>
      <w:r>
        <w:rPr>
          <w:rFonts w:hint="eastAsia"/>
          <w:b/>
          <w:color w:val="000000"/>
          <w:sz w:val="21"/>
          <w:szCs w:val="21"/>
        </w:rPr>
        <w:t>16</w:t>
      </w:r>
      <w:r>
        <w:rPr>
          <w:rFonts w:hint="eastAsia"/>
          <w:b/>
          <w:color w:val="000000"/>
          <w:sz w:val="21"/>
          <w:szCs w:val="21"/>
        </w:rPr>
        <w:fldChar w:fldCharType="end"/>
      </w:r>
      <w:r>
        <w:rPr>
          <w:rFonts w:hint="eastAsia"/>
          <w:b/>
          <w:color w:val="000000"/>
          <w:sz w:val="21"/>
          <w:szCs w:val="21"/>
        </w:rPr>
        <w:t xml:space="preserve">  起重臂拆除示意图</w:t>
      </w:r>
    </w:p>
    <w:p w14:paraId="053177EE">
      <w:pPr>
        <w:numPr>
          <w:ilvl w:val="0"/>
          <w:numId w:val="3"/>
        </w:numPr>
        <w:ind w:firstLineChars="0"/>
        <w:rPr>
          <w:color w:val="000000"/>
          <w:sz w:val="24"/>
          <w:szCs w:val="24"/>
        </w:rPr>
      </w:pPr>
      <w:r>
        <w:rPr>
          <w:rFonts w:hint="eastAsia"/>
          <w:color w:val="000000"/>
        </w:rPr>
        <w:t>作业人员在地面上先将钢丝绳一端挂在汽车吊吊钩上，启动汽车吊，将钢丝绳缓慢提升至起重臂上方时，作业人员通过爬梯爬至回转塔身平台上，将安全带交替系挂在起重臂安全绳上，沿下弦杆走行至起重臂吊点位置处。汽车吊放松吊钩，将另一端钢丝绳与起重臂腹杆节点捆绑连接，采用卸扣固定，同时在起重臂腹杆上栓好2根溜绳。作业人员沿下弦杆走行至起重臂臂节一处，汽车吊轻轻将起重臂往上抬，拆除起重臂和起重臂之间的连接销轴，汽车吊起升吊钩，将起重臂竖直起吊一定安全高度后，再将起重臂下放至地面，稳固后汽车吊放松吊钩，作业人员在地面上解除钢丝绳与起重臂吊点的连接。</w:t>
      </w:r>
    </w:p>
    <w:p w14:paraId="2E7B3BB2">
      <w:pPr>
        <w:numPr>
          <w:ilvl w:val="0"/>
          <w:numId w:val="3"/>
        </w:numPr>
        <w:ind w:firstLineChars="0"/>
        <w:rPr>
          <w:color w:val="000000"/>
          <w:sz w:val="24"/>
          <w:szCs w:val="24"/>
        </w:rPr>
      </w:pPr>
      <w:r>
        <w:rPr>
          <w:rFonts w:hint="eastAsia"/>
          <w:color w:val="000000"/>
        </w:rPr>
        <w:t>塔式起重机起重臂拆除时设置警戒区，起吊安排专人负责指挥，专人操作，严禁无关人员进入起重作业范围内。</w:t>
      </w:r>
    </w:p>
    <w:p w14:paraId="3D0F90CF">
      <w:pPr>
        <w:pStyle w:val="4"/>
        <w:rPr>
          <w:color w:val="000000"/>
        </w:rPr>
      </w:pPr>
      <w:bookmarkStart w:id="59" w:name="_Toc32064"/>
      <w:r>
        <w:rPr>
          <w:rFonts w:hint="eastAsia"/>
          <w:color w:val="000000"/>
        </w:rPr>
        <w:t>拆除剩余配重</w:t>
      </w:r>
      <w:bookmarkEnd w:id="59"/>
    </w:p>
    <w:p w14:paraId="1A034015">
      <w:pPr>
        <w:widowControl w:val="0"/>
        <w:rPr>
          <w:color w:val="000000"/>
        </w:rPr>
      </w:pPr>
      <w:r>
        <w:rPr>
          <w:rFonts w:hint="eastAsia"/>
          <w:color w:val="000000"/>
        </w:rPr>
        <w:t>（1）</w:t>
      </w:r>
      <w:r>
        <w:rPr>
          <w:rFonts w:hint="eastAsia"/>
          <w:color w:val="000000"/>
          <w:lang w:eastAsia="zh-CN"/>
        </w:rPr>
        <w:t>100t</w:t>
      </w:r>
      <w:r>
        <w:rPr>
          <w:rFonts w:hint="eastAsia"/>
          <w:color w:val="000000"/>
        </w:rPr>
        <w:t>汽车吊主臂长</w:t>
      </w:r>
      <w:r>
        <w:rPr>
          <w:rFonts w:hint="eastAsia"/>
          <w:color w:val="000000"/>
          <w:lang w:val="en-US" w:eastAsia="zh-CN"/>
        </w:rPr>
        <w:t>43.5</w:t>
      </w:r>
      <w:r>
        <w:rPr>
          <w:rFonts w:hint="eastAsia"/>
          <w:color w:val="000000"/>
        </w:rPr>
        <w:t>m，</w:t>
      </w:r>
      <w:r>
        <w:rPr>
          <w:rFonts w:hint="eastAsia"/>
          <w:color w:val="000000"/>
          <w:lang w:val="en-US" w:eastAsia="zh-CN"/>
        </w:rPr>
        <w:t>吊幅</w:t>
      </w:r>
      <w:r>
        <w:rPr>
          <w:rFonts w:hint="eastAsia"/>
          <w:color w:val="000000"/>
        </w:rPr>
        <w:t>1</w:t>
      </w:r>
      <w:r>
        <w:rPr>
          <w:rFonts w:hint="eastAsia"/>
          <w:color w:val="000000"/>
          <w:lang w:val="en-US" w:eastAsia="zh-CN"/>
        </w:rPr>
        <w:t>8</w:t>
      </w:r>
      <w:r>
        <w:rPr>
          <w:rFonts w:hint="eastAsia"/>
          <w:color w:val="000000"/>
        </w:rPr>
        <w:t>m，额定起重量为</w:t>
      </w:r>
      <w:r>
        <w:rPr>
          <w:rFonts w:hint="eastAsia"/>
          <w:color w:val="000000"/>
          <w:lang w:val="en-US" w:eastAsia="zh-CN"/>
        </w:rPr>
        <w:t>15</w:t>
      </w:r>
      <w:r>
        <w:rPr>
          <w:rFonts w:hint="eastAsia"/>
          <w:color w:val="000000"/>
          <w:lang w:eastAsia="zh-CN"/>
        </w:rPr>
        <w:t>t</w:t>
      </w:r>
      <w:r>
        <w:rPr>
          <w:rFonts w:hint="eastAsia"/>
          <w:color w:val="000000"/>
        </w:rPr>
        <w:t>&gt;</w:t>
      </w:r>
      <w:r>
        <w:rPr>
          <w:rFonts w:hint="eastAsia"/>
          <w:color w:val="000000"/>
          <w:lang w:val="en-US" w:eastAsia="zh-CN"/>
        </w:rPr>
        <w:t>5.5</w:t>
      </w:r>
      <w:r>
        <w:rPr>
          <w:rFonts w:hint="eastAsia"/>
          <w:color w:val="000000"/>
        </w:rPr>
        <w:t>t,满足拆除吊装要求。</w:t>
      </w:r>
    </w:p>
    <w:p w14:paraId="0D2DE2FE">
      <w:pPr>
        <w:widowControl w:val="0"/>
        <w:rPr>
          <w:color w:val="000000"/>
        </w:rPr>
      </w:pPr>
      <w:r>
        <w:rPr>
          <w:rFonts w:hint="eastAsia"/>
          <w:color w:val="000000"/>
        </w:rPr>
        <w:t>（2）平衡重吊装采用两点吊，以平衡重顶部预埋的2个吊耳板作为吊装孔，采用</w:t>
      </w:r>
      <w:r>
        <w:rPr>
          <w:rFonts w:hint="eastAsia"/>
          <w:color w:val="000000"/>
          <w:lang w:eastAsia="zh-CN"/>
        </w:rPr>
        <w:t>2根22mm6×19S+FC1870Mpa</w:t>
      </w:r>
      <w:r>
        <w:rPr>
          <w:rFonts w:hint="eastAsia"/>
          <w:color w:val="000000"/>
        </w:rPr>
        <w:t>的钢丝绳配套GB/T 25854-6-DW5卸扣进行起吊。</w:t>
      </w:r>
    </w:p>
    <w:p w14:paraId="6C5984A1">
      <w:pPr>
        <w:widowControl w:val="0"/>
        <w:rPr>
          <w:color w:val="000000"/>
        </w:rPr>
      </w:pPr>
      <w:r>
        <w:rPr>
          <w:rFonts w:hint="eastAsia"/>
          <w:color w:val="000000"/>
        </w:rPr>
        <w:t>（3）作业人员在地面上先将钢丝绳一端挂在汽车吊吊钩上，另一端与卸扣连接，启动汽车吊，将卸扣缓慢提升至平衡重上方时，缓慢放松吊钩，作业人员通过平衡臂走道走行至平衡臂尾部，将安全带系挂在平衡臂横杆上，再将卸扣与平衡重吊耳通过销轴连接，打开平衡臂尾部的挡杆。汽车吊起升吊钩，将平衡重竖直起吊一定高度后，解除平衡重孔的销轴，汽车吊将平衡重沿平衡臂尾部槽口缓慢向外移出平衡臂，将平衡重下放至地面，作业人员在地面上解除卸扣与平衡重吊耳的连接。</w:t>
      </w:r>
    </w:p>
    <w:p w14:paraId="1B7C919B">
      <w:pPr>
        <w:spacing w:line="240" w:lineRule="auto"/>
        <w:ind w:firstLine="0" w:firstLineChars="0"/>
        <w:jc w:val="center"/>
      </w:pPr>
      <w:r>
        <w:drawing>
          <wp:inline distT="0" distB="0" distL="114300" distR="114300">
            <wp:extent cx="4903470" cy="3192145"/>
            <wp:effectExtent l="0" t="0" r="11430" b="8255"/>
            <wp:docPr id="5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5"/>
                    <pic:cNvPicPr>
                      <a:picLocks noChangeAspect="1"/>
                    </pic:cNvPicPr>
                  </pic:nvPicPr>
                  <pic:blipFill>
                    <a:blip r:embed="rId49"/>
                    <a:stretch>
                      <a:fillRect/>
                    </a:stretch>
                  </pic:blipFill>
                  <pic:spPr>
                    <a:xfrm>
                      <a:off x="0" y="0"/>
                      <a:ext cx="4903470" cy="3192145"/>
                    </a:xfrm>
                    <a:prstGeom prst="rect">
                      <a:avLst/>
                    </a:prstGeom>
                    <a:noFill/>
                    <a:ln>
                      <a:noFill/>
                    </a:ln>
                  </pic:spPr>
                </pic:pic>
              </a:graphicData>
            </a:graphic>
          </wp:inline>
        </w:drawing>
      </w:r>
    </w:p>
    <w:p w14:paraId="43C6002E">
      <w:pPr>
        <w:spacing w:line="240" w:lineRule="auto"/>
        <w:ind w:firstLine="0" w:firstLineChars="0"/>
        <w:jc w:val="center"/>
        <w:rPr>
          <w:rFonts w:hint="default" w:eastAsia="仿宋"/>
          <w:color w:val="000000"/>
          <w:lang w:val="en-US" w:eastAsia="zh-CN"/>
        </w:rPr>
      </w:pPr>
      <w:r>
        <w:drawing>
          <wp:inline distT="0" distB="0" distL="114300" distR="114300">
            <wp:extent cx="3596005" cy="3503295"/>
            <wp:effectExtent l="0" t="0" r="4445" b="1905"/>
            <wp:docPr id="5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6"/>
                    <pic:cNvPicPr>
                      <a:picLocks noChangeAspect="1"/>
                    </pic:cNvPicPr>
                  </pic:nvPicPr>
                  <pic:blipFill>
                    <a:blip r:embed="rId50"/>
                    <a:stretch>
                      <a:fillRect/>
                    </a:stretch>
                  </pic:blipFill>
                  <pic:spPr>
                    <a:xfrm>
                      <a:off x="0" y="0"/>
                      <a:ext cx="3596005" cy="3503295"/>
                    </a:xfrm>
                    <a:prstGeom prst="rect">
                      <a:avLst/>
                    </a:prstGeom>
                    <a:noFill/>
                    <a:ln>
                      <a:noFill/>
                    </a:ln>
                  </pic:spPr>
                </pic:pic>
              </a:graphicData>
            </a:graphic>
          </wp:inline>
        </w:drawing>
      </w:r>
    </w:p>
    <w:p w14:paraId="645FC70D">
      <w:pPr>
        <w:ind w:firstLine="0" w:firstLineChars="0"/>
        <w:jc w:val="center"/>
        <w:rPr>
          <w:b/>
          <w:color w:val="000000"/>
          <w:sz w:val="21"/>
          <w:szCs w:val="21"/>
        </w:rPr>
      </w:pPr>
      <w:r>
        <w:rPr>
          <w:rFonts w:hint="eastAsia"/>
          <w:b/>
          <w:color w:val="000000"/>
          <w:sz w:val="21"/>
          <w:szCs w:val="21"/>
        </w:rPr>
        <w:t xml:space="preserve">图 </w:t>
      </w:r>
      <w:r>
        <w:rPr>
          <w:rFonts w:hint="eastAsia"/>
          <w:b/>
          <w:color w:val="000000"/>
          <w:sz w:val="21"/>
          <w:szCs w:val="21"/>
        </w:rPr>
        <w:fldChar w:fldCharType="begin"/>
      </w:r>
      <w:r>
        <w:rPr>
          <w:rFonts w:hint="eastAsia"/>
          <w:b/>
          <w:color w:val="000000"/>
          <w:sz w:val="21"/>
          <w:szCs w:val="21"/>
        </w:rPr>
        <w:instrText xml:space="preserve"> STYLEREF 2 \s </w:instrText>
      </w:r>
      <w:r>
        <w:rPr>
          <w:rFonts w:hint="eastAsia"/>
          <w:b/>
          <w:color w:val="000000"/>
          <w:sz w:val="21"/>
          <w:szCs w:val="21"/>
        </w:rPr>
        <w:fldChar w:fldCharType="separate"/>
      </w:r>
      <w:r>
        <w:rPr>
          <w:rFonts w:hint="eastAsia"/>
          <w:b/>
          <w:color w:val="000000"/>
          <w:sz w:val="21"/>
          <w:szCs w:val="21"/>
        </w:rPr>
        <w:t>5.2</w:t>
      </w:r>
      <w:r>
        <w:rPr>
          <w:rFonts w:hint="eastAsia"/>
          <w:b/>
          <w:color w:val="000000"/>
          <w:sz w:val="21"/>
          <w:szCs w:val="21"/>
        </w:rPr>
        <w:fldChar w:fldCharType="end"/>
      </w:r>
      <w:r>
        <w:rPr>
          <w:rFonts w:hint="eastAsia"/>
          <w:b/>
          <w:color w:val="000000"/>
          <w:sz w:val="21"/>
          <w:szCs w:val="21"/>
        </w:rPr>
        <w:t>-</w:t>
      </w:r>
      <w:r>
        <w:rPr>
          <w:rFonts w:hint="eastAsia"/>
          <w:b/>
          <w:color w:val="000000"/>
          <w:sz w:val="21"/>
          <w:szCs w:val="21"/>
        </w:rPr>
        <w:fldChar w:fldCharType="begin"/>
      </w:r>
      <w:r>
        <w:rPr>
          <w:rFonts w:hint="eastAsia"/>
          <w:b/>
          <w:color w:val="000000"/>
          <w:sz w:val="21"/>
          <w:szCs w:val="21"/>
        </w:rPr>
        <w:instrText xml:space="preserve"> SEQ 图 \* ARABIC \s 2 </w:instrText>
      </w:r>
      <w:r>
        <w:rPr>
          <w:rFonts w:hint="eastAsia"/>
          <w:b/>
          <w:color w:val="000000"/>
          <w:sz w:val="21"/>
          <w:szCs w:val="21"/>
        </w:rPr>
        <w:fldChar w:fldCharType="separate"/>
      </w:r>
      <w:r>
        <w:rPr>
          <w:rFonts w:hint="eastAsia"/>
          <w:b/>
          <w:color w:val="000000"/>
          <w:sz w:val="21"/>
          <w:szCs w:val="21"/>
        </w:rPr>
        <w:t>17</w:t>
      </w:r>
      <w:r>
        <w:rPr>
          <w:rFonts w:hint="eastAsia"/>
          <w:b/>
          <w:color w:val="000000"/>
          <w:sz w:val="21"/>
          <w:szCs w:val="21"/>
        </w:rPr>
        <w:fldChar w:fldCharType="end"/>
      </w:r>
      <w:r>
        <w:rPr>
          <w:rFonts w:hint="eastAsia"/>
          <w:b/>
          <w:color w:val="000000"/>
          <w:sz w:val="21"/>
          <w:szCs w:val="21"/>
          <w:lang w:val="en-US" w:eastAsia="zh-CN"/>
        </w:rPr>
        <w:t xml:space="preserve"> </w:t>
      </w:r>
      <w:r>
        <w:rPr>
          <w:rFonts w:hint="eastAsia"/>
          <w:b/>
          <w:color w:val="000000"/>
          <w:sz w:val="21"/>
          <w:szCs w:val="21"/>
        </w:rPr>
        <w:t>剩余平衡重拆除示意图</w:t>
      </w:r>
    </w:p>
    <w:p w14:paraId="51298DA0">
      <w:pPr>
        <w:pStyle w:val="4"/>
        <w:rPr>
          <w:color w:val="000000"/>
        </w:rPr>
      </w:pPr>
      <w:r>
        <w:rPr>
          <w:rFonts w:hint="eastAsia"/>
          <w:color w:val="000000"/>
        </w:rPr>
        <w:t>拆除平衡臂</w:t>
      </w:r>
    </w:p>
    <w:p w14:paraId="1846CD16">
      <w:pPr>
        <w:rPr>
          <w:color w:val="000000"/>
        </w:rPr>
      </w:pPr>
      <w:r>
        <w:rPr>
          <w:rFonts w:hint="eastAsia"/>
          <w:color w:val="000000"/>
        </w:rPr>
        <w:t>（1）</w:t>
      </w:r>
      <w:r>
        <w:rPr>
          <w:rFonts w:hint="eastAsia"/>
          <w:color w:val="000000"/>
          <w:lang w:val="en-US" w:eastAsia="zh-CN"/>
        </w:rPr>
        <w:t>平衡臂分节吊装，平衡臂1重量为3.509t，平衡臂3重量为9.713t，</w:t>
      </w:r>
      <w:r>
        <w:rPr>
          <w:rFonts w:hint="eastAsia"/>
          <w:color w:val="000000"/>
          <w:lang w:eastAsia="zh-CN"/>
        </w:rPr>
        <w:t>100t</w:t>
      </w:r>
      <w:r>
        <w:rPr>
          <w:rFonts w:hint="eastAsia"/>
          <w:color w:val="000000"/>
        </w:rPr>
        <w:t>汽车吊主臂长</w:t>
      </w:r>
      <w:r>
        <w:rPr>
          <w:rFonts w:hint="eastAsia"/>
          <w:color w:val="000000"/>
          <w:lang w:val="en-US" w:eastAsia="zh-CN"/>
        </w:rPr>
        <w:t>43.5</w:t>
      </w:r>
      <w:r>
        <w:rPr>
          <w:rFonts w:hint="eastAsia"/>
          <w:color w:val="000000"/>
        </w:rPr>
        <w:t>m，</w:t>
      </w:r>
      <w:r>
        <w:rPr>
          <w:rFonts w:hint="eastAsia"/>
          <w:color w:val="000000"/>
          <w:lang w:val="en-US" w:eastAsia="zh-CN"/>
        </w:rPr>
        <w:t>吊幅18</w:t>
      </w:r>
      <w:r>
        <w:rPr>
          <w:rFonts w:hint="eastAsia"/>
          <w:color w:val="000000"/>
        </w:rPr>
        <w:t>m，额定起重量为</w:t>
      </w:r>
      <w:r>
        <w:rPr>
          <w:rFonts w:hint="eastAsia"/>
          <w:color w:val="000000"/>
          <w:lang w:val="en-US" w:eastAsia="zh-CN"/>
        </w:rPr>
        <w:t>15</w:t>
      </w:r>
      <w:r>
        <w:rPr>
          <w:rFonts w:hint="eastAsia"/>
          <w:color w:val="000000"/>
          <w:lang w:eastAsia="zh-CN"/>
        </w:rPr>
        <w:t>t</w:t>
      </w:r>
      <w:r>
        <w:rPr>
          <w:rFonts w:hint="eastAsia"/>
          <w:color w:val="000000"/>
        </w:rPr>
        <w:t>&gt;</w:t>
      </w:r>
      <w:r>
        <w:rPr>
          <w:rFonts w:hint="eastAsia"/>
          <w:color w:val="000000"/>
          <w:lang w:val="en-US" w:eastAsia="zh-CN"/>
        </w:rPr>
        <w:t>9.713</w:t>
      </w:r>
      <w:r>
        <w:rPr>
          <w:rFonts w:hint="eastAsia"/>
          <w:color w:val="000000"/>
        </w:rPr>
        <w:t>t,满足拆除吊装要求。</w:t>
      </w:r>
    </w:p>
    <w:p w14:paraId="454F874D">
      <w:pPr>
        <w:rPr>
          <w:color w:val="000000"/>
        </w:rPr>
      </w:pPr>
      <w:r>
        <w:rPr>
          <w:rFonts w:hint="eastAsia"/>
          <w:color w:val="000000"/>
        </w:rPr>
        <w:t>（2）平衡臂吊装采用四点吊，以平衡臂顶部4个吊耳板作为吊装孔，采用</w:t>
      </w:r>
      <w:r>
        <w:rPr>
          <w:rFonts w:hint="eastAsia"/>
          <w:color w:val="000000"/>
          <w:lang w:eastAsia="zh-CN"/>
        </w:rPr>
        <w:t>4根32mm6×19S+FC1870Mpa</w:t>
      </w:r>
      <w:r>
        <w:rPr>
          <w:rFonts w:hint="eastAsia"/>
          <w:color w:val="000000"/>
        </w:rPr>
        <w:t>的钢丝绳配套GB/T 25854-6-DW</w:t>
      </w:r>
      <w:r>
        <w:rPr>
          <w:rFonts w:hint="eastAsia"/>
          <w:color w:val="000000"/>
          <w:lang w:val="en-US" w:eastAsia="zh-CN"/>
        </w:rPr>
        <w:t>10</w:t>
      </w:r>
      <w:r>
        <w:rPr>
          <w:rFonts w:hint="eastAsia"/>
          <w:color w:val="000000"/>
        </w:rPr>
        <w:t>卸扣进行起吊。</w:t>
      </w:r>
    </w:p>
    <w:p w14:paraId="3295E130">
      <w:pPr>
        <w:rPr>
          <w:color w:val="000000"/>
        </w:rPr>
      </w:pPr>
      <w:r>
        <w:rPr>
          <w:rFonts w:hint="eastAsia"/>
          <w:color w:val="000000"/>
        </w:rPr>
        <w:t>（3）作业人员在地面上先将钢丝绳一端挂在汽车吊吊钩上，另一端与卸扣连接，启动汽车吊，将卸扣缓慢提升至平衡臂上方，作业人员将安全带系挂在平衡臂横杆上，通过平衡臂走道走行至平衡臂吊耳位置，汽车吊放松吊钩，作业人员将卸扣与平衡臂吊耳通过销轴连接，同时在平衡臂杆件上栓好2根溜绳。作业人员通过平衡臂走道走行至起重臂臂根节处，将安全带系挂在起重臂臂根节的横杆上，汽车吊稍微提起平衡臂，使吊装钢丝绳和平衡臂处于紧绷状态，拆除拉杆和起重臂臂根节的连接销轴，采用汽车吊提升平衡臂，使平衡臂与起重臂臂节一倾斜至一定角度，拆除平衡臂和起重臂臂节一连接销轴。汽车吊起升吊钩，将平衡臂提升至一定安全高度后，再将平衡臂下放至地面，作业人员在地面上解除卸扣与平衡臂吊耳的连接。</w:t>
      </w:r>
    </w:p>
    <w:p w14:paraId="1EAAA1FB">
      <w:pPr>
        <w:rPr>
          <w:color w:val="000000"/>
        </w:rPr>
      </w:pPr>
      <w:r>
        <w:rPr>
          <w:rFonts w:hint="eastAsia"/>
          <w:color w:val="000000"/>
        </w:rPr>
        <w:t>（4）塔式起重机平衡臂拆除时设置警戒区，起吊安排专人负责指挥，专人操作，严禁无关人员进入起重作业范围内。</w:t>
      </w:r>
    </w:p>
    <w:p w14:paraId="70AD3E64">
      <w:pPr>
        <w:widowControl w:val="0"/>
        <w:spacing w:line="240" w:lineRule="auto"/>
        <w:ind w:firstLine="0" w:firstLineChars="0"/>
        <w:jc w:val="center"/>
        <w:rPr>
          <w:color w:val="000000"/>
        </w:rPr>
      </w:pPr>
      <w:r>
        <w:drawing>
          <wp:inline distT="0" distB="0" distL="114300" distR="114300">
            <wp:extent cx="5746115" cy="3740150"/>
            <wp:effectExtent l="0" t="0" r="6985" b="12700"/>
            <wp:docPr id="6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5"/>
                    <pic:cNvPicPr>
                      <a:picLocks noChangeAspect="1"/>
                    </pic:cNvPicPr>
                  </pic:nvPicPr>
                  <pic:blipFill>
                    <a:blip r:embed="rId49"/>
                    <a:stretch>
                      <a:fillRect/>
                    </a:stretch>
                  </pic:blipFill>
                  <pic:spPr>
                    <a:xfrm>
                      <a:off x="0" y="0"/>
                      <a:ext cx="5746115" cy="3740150"/>
                    </a:xfrm>
                    <a:prstGeom prst="rect">
                      <a:avLst/>
                    </a:prstGeom>
                    <a:noFill/>
                    <a:ln>
                      <a:noFill/>
                    </a:ln>
                  </pic:spPr>
                </pic:pic>
              </a:graphicData>
            </a:graphic>
          </wp:inline>
        </w:drawing>
      </w:r>
      <w:r>
        <w:drawing>
          <wp:inline distT="0" distB="0" distL="114300" distR="114300">
            <wp:extent cx="4059555" cy="4599305"/>
            <wp:effectExtent l="0" t="0" r="17145" b="10795"/>
            <wp:docPr id="6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7"/>
                    <pic:cNvPicPr>
                      <a:picLocks noChangeAspect="1"/>
                    </pic:cNvPicPr>
                  </pic:nvPicPr>
                  <pic:blipFill>
                    <a:blip r:embed="rId51"/>
                    <a:stretch>
                      <a:fillRect/>
                    </a:stretch>
                  </pic:blipFill>
                  <pic:spPr>
                    <a:xfrm>
                      <a:off x="0" y="0"/>
                      <a:ext cx="4059555" cy="4599305"/>
                    </a:xfrm>
                    <a:prstGeom prst="rect">
                      <a:avLst/>
                    </a:prstGeom>
                    <a:noFill/>
                    <a:ln>
                      <a:noFill/>
                    </a:ln>
                  </pic:spPr>
                </pic:pic>
              </a:graphicData>
            </a:graphic>
          </wp:inline>
        </w:drawing>
      </w:r>
    </w:p>
    <w:p w14:paraId="60E20594">
      <w:pPr>
        <w:spacing w:line="240" w:lineRule="auto"/>
        <w:ind w:firstLine="0" w:firstLineChars="0"/>
        <w:jc w:val="center"/>
        <w:rPr>
          <w:rFonts w:hint="eastAsia"/>
          <w:b/>
          <w:color w:val="000000"/>
          <w:sz w:val="21"/>
          <w:szCs w:val="21"/>
        </w:rPr>
      </w:pPr>
      <w:r>
        <w:rPr>
          <w:rFonts w:hint="eastAsia"/>
          <w:b/>
          <w:color w:val="000000"/>
          <w:sz w:val="21"/>
          <w:szCs w:val="21"/>
        </w:rPr>
        <w:t xml:space="preserve">图 </w:t>
      </w:r>
      <w:r>
        <w:rPr>
          <w:rFonts w:hint="eastAsia"/>
          <w:b/>
          <w:color w:val="000000"/>
          <w:sz w:val="21"/>
          <w:szCs w:val="21"/>
        </w:rPr>
        <w:fldChar w:fldCharType="begin"/>
      </w:r>
      <w:r>
        <w:rPr>
          <w:rFonts w:hint="eastAsia"/>
          <w:b/>
          <w:color w:val="000000"/>
          <w:sz w:val="21"/>
          <w:szCs w:val="21"/>
        </w:rPr>
        <w:instrText xml:space="preserve"> STYLEREF 2 \s </w:instrText>
      </w:r>
      <w:r>
        <w:rPr>
          <w:rFonts w:hint="eastAsia"/>
          <w:b/>
          <w:color w:val="000000"/>
          <w:sz w:val="21"/>
          <w:szCs w:val="21"/>
        </w:rPr>
        <w:fldChar w:fldCharType="separate"/>
      </w:r>
      <w:r>
        <w:rPr>
          <w:rFonts w:hint="eastAsia"/>
          <w:b/>
          <w:color w:val="000000"/>
          <w:sz w:val="21"/>
          <w:szCs w:val="21"/>
        </w:rPr>
        <w:t>5.2</w:t>
      </w:r>
      <w:r>
        <w:rPr>
          <w:rFonts w:hint="eastAsia"/>
          <w:b/>
          <w:color w:val="000000"/>
          <w:sz w:val="21"/>
          <w:szCs w:val="21"/>
        </w:rPr>
        <w:fldChar w:fldCharType="end"/>
      </w:r>
      <w:r>
        <w:rPr>
          <w:rFonts w:hint="eastAsia"/>
          <w:b/>
          <w:color w:val="000000"/>
          <w:sz w:val="21"/>
          <w:szCs w:val="21"/>
        </w:rPr>
        <w:t>-</w:t>
      </w:r>
      <w:r>
        <w:rPr>
          <w:rFonts w:hint="eastAsia"/>
          <w:b/>
          <w:color w:val="000000"/>
          <w:sz w:val="21"/>
          <w:szCs w:val="21"/>
        </w:rPr>
        <w:fldChar w:fldCharType="begin"/>
      </w:r>
      <w:r>
        <w:rPr>
          <w:rFonts w:hint="eastAsia"/>
          <w:b/>
          <w:color w:val="000000"/>
          <w:sz w:val="21"/>
          <w:szCs w:val="21"/>
        </w:rPr>
        <w:instrText xml:space="preserve"> SEQ 图 \* ARABIC \s 2 </w:instrText>
      </w:r>
      <w:r>
        <w:rPr>
          <w:rFonts w:hint="eastAsia"/>
          <w:b/>
          <w:color w:val="000000"/>
          <w:sz w:val="21"/>
          <w:szCs w:val="21"/>
        </w:rPr>
        <w:fldChar w:fldCharType="separate"/>
      </w:r>
      <w:r>
        <w:rPr>
          <w:rFonts w:hint="eastAsia"/>
          <w:b/>
          <w:color w:val="000000"/>
          <w:sz w:val="21"/>
          <w:szCs w:val="21"/>
        </w:rPr>
        <w:t>18</w:t>
      </w:r>
      <w:r>
        <w:rPr>
          <w:rFonts w:hint="eastAsia"/>
          <w:b/>
          <w:color w:val="000000"/>
          <w:sz w:val="21"/>
          <w:szCs w:val="21"/>
        </w:rPr>
        <w:fldChar w:fldCharType="end"/>
      </w:r>
      <w:r>
        <w:rPr>
          <w:rFonts w:hint="eastAsia"/>
          <w:b/>
          <w:color w:val="000000"/>
          <w:sz w:val="21"/>
          <w:szCs w:val="21"/>
          <w:lang w:val="en-US" w:eastAsia="zh-CN"/>
        </w:rPr>
        <w:t xml:space="preserve">  </w:t>
      </w:r>
      <w:r>
        <w:rPr>
          <w:rFonts w:hint="eastAsia"/>
          <w:b/>
          <w:color w:val="000000"/>
          <w:sz w:val="21"/>
          <w:szCs w:val="21"/>
        </w:rPr>
        <w:t>平衡臂</w:t>
      </w:r>
      <w:r>
        <w:rPr>
          <w:rFonts w:hint="eastAsia"/>
          <w:b/>
          <w:color w:val="000000"/>
          <w:sz w:val="21"/>
          <w:szCs w:val="21"/>
          <w:lang w:val="en-US" w:eastAsia="zh-CN"/>
        </w:rPr>
        <w:t>臂节3</w:t>
      </w:r>
      <w:r>
        <w:rPr>
          <w:rFonts w:hint="eastAsia"/>
          <w:b/>
          <w:color w:val="000000"/>
          <w:sz w:val="21"/>
          <w:szCs w:val="21"/>
        </w:rPr>
        <w:t>拆除示意图</w:t>
      </w:r>
    </w:p>
    <w:p w14:paraId="7F1C6622">
      <w:pPr>
        <w:spacing w:line="240" w:lineRule="auto"/>
        <w:ind w:firstLine="0" w:firstLineChars="0"/>
        <w:jc w:val="center"/>
      </w:pPr>
      <w:r>
        <w:drawing>
          <wp:inline distT="0" distB="0" distL="114300" distR="114300">
            <wp:extent cx="5859145" cy="3818255"/>
            <wp:effectExtent l="0" t="0" r="8255" b="10795"/>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52"/>
                    <a:stretch>
                      <a:fillRect/>
                    </a:stretch>
                  </pic:blipFill>
                  <pic:spPr>
                    <a:xfrm>
                      <a:off x="0" y="0"/>
                      <a:ext cx="5859145" cy="3818255"/>
                    </a:xfrm>
                    <a:prstGeom prst="rect">
                      <a:avLst/>
                    </a:prstGeom>
                    <a:noFill/>
                    <a:ln>
                      <a:noFill/>
                    </a:ln>
                  </pic:spPr>
                </pic:pic>
              </a:graphicData>
            </a:graphic>
          </wp:inline>
        </w:drawing>
      </w:r>
    </w:p>
    <w:p w14:paraId="003B863A">
      <w:pPr>
        <w:spacing w:line="240" w:lineRule="auto"/>
        <w:ind w:firstLine="0" w:firstLineChars="0"/>
        <w:jc w:val="center"/>
        <w:rPr>
          <w:rFonts w:hint="eastAsia"/>
          <w:b/>
          <w:color w:val="000000"/>
          <w:sz w:val="21"/>
          <w:szCs w:val="21"/>
        </w:rPr>
      </w:pPr>
      <w:r>
        <w:drawing>
          <wp:inline distT="0" distB="0" distL="114300" distR="114300">
            <wp:extent cx="4532630" cy="4864100"/>
            <wp:effectExtent l="0" t="0" r="1270" b="12700"/>
            <wp:docPr id="6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8"/>
                    <pic:cNvPicPr>
                      <a:picLocks noChangeAspect="1"/>
                    </pic:cNvPicPr>
                  </pic:nvPicPr>
                  <pic:blipFill>
                    <a:blip r:embed="rId53"/>
                    <a:stretch>
                      <a:fillRect/>
                    </a:stretch>
                  </pic:blipFill>
                  <pic:spPr>
                    <a:xfrm>
                      <a:off x="0" y="0"/>
                      <a:ext cx="4532630" cy="4864100"/>
                    </a:xfrm>
                    <a:prstGeom prst="rect">
                      <a:avLst/>
                    </a:prstGeom>
                    <a:noFill/>
                    <a:ln>
                      <a:noFill/>
                    </a:ln>
                  </pic:spPr>
                </pic:pic>
              </a:graphicData>
            </a:graphic>
          </wp:inline>
        </w:drawing>
      </w:r>
    </w:p>
    <w:p w14:paraId="755692BD">
      <w:pPr>
        <w:spacing w:line="240" w:lineRule="auto"/>
        <w:ind w:firstLine="0" w:firstLineChars="0"/>
        <w:jc w:val="center"/>
        <w:rPr>
          <w:b/>
          <w:color w:val="000000"/>
          <w:sz w:val="21"/>
          <w:szCs w:val="21"/>
        </w:rPr>
      </w:pPr>
      <w:r>
        <w:rPr>
          <w:rFonts w:hint="eastAsia"/>
          <w:b/>
          <w:color w:val="000000"/>
          <w:sz w:val="21"/>
          <w:szCs w:val="21"/>
        </w:rPr>
        <w:t xml:space="preserve">图 </w:t>
      </w:r>
      <w:r>
        <w:rPr>
          <w:rFonts w:hint="eastAsia"/>
          <w:b/>
          <w:color w:val="000000"/>
          <w:sz w:val="21"/>
          <w:szCs w:val="21"/>
        </w:rPr>
        <w:fldChar w:fldCharType="begin"/>
      </w:r>
      <w:r>
        <w:rPr>
          <w:rFonts w:hint="eastAsia"/>
          <w:b/>
          <w:color w:val="000000"/>
          <w:sz w:val="21"/>
          <w:szCs w:val="21"/>
        </w:rPr>
        <w:instrText xml:space="preserve"> STYLEREF 2 \s </w:instrText>
      </w:r>
      <w:r>
        <w:rPr>
          <w:rFonts w:hint="eastAsia"/>
          <w:b/>
          <w:color w:val="000000"/>
          <w:sz w:val="21"/>
          <w:szCs w:val="21"/>
        </w:rPr>
        <w:fldChar w:fldCharType="separate"/>
      </w:r>
      <w:r>
        <w:rPr>
          <w:rFonts w:hint="eastAsia"/>
          <w:b/>
          <w:color w:val="000000"/>
          <w:sz w:val="21"/>
          <w:szCs w:val="21"/>
        </w:rPr>
        <w:t>5.2</w:t>
      </w:r>
      <w:r>
        <w:rPr>
          <w:rFonts w:hint="eastAsia"/>
          <w:b/>
          <w:color w:val="000000"/>
          <w:sz w:val="21"/>
          <w:szCs w:val="21"/>
        </w:rPr>
        <w:fldChar w:fldCharType="end"/>
      </w:r>
      <w:r>
        <w:rPr>
          <w:rFonts w:hint="eastAsia"/>
          <w:b/>
          <w:color w:val="000000"/>
          <w:sz w:val="21"/>
          <w:szCs w:val="21"/>
        </w:rPr>
        <w:t>-</w:t>
      </w:r>
      <w:r>
        <w:rPr>
          <w:rFonts w:hint="eastAsia"/>
          <w:b/>
          <w:color w:val="000000"/>
          <w:sz w:val="21"/>
          <w:szCs w:val="21"/>
        </w:rPr>
        <w:fldChar w:fldCharType="begin"/>
      </w:r>
      <w:r>
        <w:rPr>
          <w:rFonts w:hint="eastAsia"/>
          <w:b/>
          <w:color w:val="000000"/>
          <w:sz w:val="21"/>
          <w:szCs w:val="21"/>
        </w:rPr>
        <w:instrText xml:space="preserve"> SEQ 图 \* ARABIC \s 2 </w:instrText>
      </w:r>
      <w:r>
        <w:rPr>
          <w:rFonts w:hint="eastAsia"/>
          <w:b/>
          <w:color w:val="000000"/>
          <w:sz w:val="21"/>
          <w:szCs w:val="21"/>
        </w:rPr>
        <w:fldChar w:fldCharType="separate"/>
      </w:r>
      <w:r>
        <w:rPr>
          <w:rFonts w:hint="eastAsia"/>
          <w:b/>
          <w:color w:val="000000"/>
          <w:sz w:val="21"/>
          <w:szCs w:val="21"/>
        </w:rPr>
        <w:t>19</w:t>
      </w:r>
      <w:r>
        <w:rPr>
          <w:rFonts w:hint="eastAsia"/>
          <w:b/>
          <w:color w:val="000000"/>
          <w:sz w:val="21"/>
          <w:szCs w:val="21"/>
        </w:rPr>
        <w:fldChar w:fldCharType="end"/>
      </w:r>
      <w:r>
        <w:rPr>
          <w:rFonts w:hint="eastAsia"/>
          <w:b/>
          <w:color w:val="000000"/>
          <w:sz w:val="21"/>
          <w:szCs w:val="21"/>
          <w:lang w:val="en-US" w:eastAsia="zh-CN"/>
        </w:rPr>
        <w:t xml:space="preserve">  </w:t>
      </w:r>
      <w:r>
        <w:rPr>
          <w:rFonts w:hint="eastAsia"/>
          <w:b/>
          <w:color w:val="000000"/>
          <w:sz w:val="21"/>
          <w:szCs w:val="21"/>
        </w:rPr>
        <w:t>平衡臂</w:t>
      </w:r>
      <w:r>
        <w:rPr>
          <w:rFonts w:hint="eastAsia"/>
          <w:b/>
          <w:color w:val="000000"/>
          <w:sz w:val="21"/>
          <w:szCs w:val="21"/>
          <w:lang w:val="en-US" w:eastAsia="zh-CN"/>
        </w:rPr>
        <w:t>臂节1</w:t>
      </w:r>
      <w:r>
        <w:rPr>
          <w:rFonts w:hint="eastAsia"/>
          <w:b/>
          <w:color w:val="000000"/>
          <w:sz w:val="21"/>
          <w:szCs w:val="21"/>
        </w:rPr>
        <w:t>拆除示意图</w:t>
      </w:r>
    </w:p>
    <w:p w14:paraId="78E9B005">
      <w:pPr>
        <w:pStyle w:val="4"/>
        <w:spacing w:line="240" w:lineRule="auto"/>
        <w:rPr>
          <w:color w:val="000000"/>
        </w:rPr>
      </w:pPr>
      <w:bookmarkStart w:id="60" w:name="_Toc6240"/>
      <w:r>
        <w:rPr>
          <w:rFonts w:hint="eastAsia"/>
          <w:color w:val="000000"/>
          <w:lang w:val="en-US" w:eastAsia="zh-CN"/>
        </w:rPr>
        <w:t>拆除起重臂臂根节</w:t>
      </w:r>
    </w:p>
    <w:p w14:paraId="75B37283">
      <w:pPr>
        <w:numPr>
          <w:ilvl w:val="0"/>
          <w:numId w:val="4"/>
        </w:numPr>
        <w:ind w:firstLineChars="0"/>
        <w:rPr>
          <w:rFonts w:hint="eastAsia"/>
          <w:color w:val="000000"/>
        </w:rPr>
      </w:pPr>
      <w:r>
        <w:rPr>
          <w:rFonts w:hint="eastAsia"/>
          <w:color w:val="000000"/>
        </w:rPr>
        <w:t>起重臂</w:t>
      </w:r>
      <w:r>
        <w:rPr>
          <w:rFonts w:hint="eastAsia"/>
          <w:color w:val="000000"/>
          <w:lang w:val="en-US" w:eastAsia="zh-CN"/>
        </w:rPr>
        <w:t>臂根节</w:t>
      </w:r>
      <w:r>
        <w:rPr>
          <w:rFonts w:hint="eastAsia"/>
          <w:color w:val="000000"/>
        </w:rPr>
        <w:t>采用分节拆除，</w:t>
      </w:r>
      <w:r>
        <w:rPr>
          <w:rFonts w:hint="eastAsia"/>
          <w:color w:val="000000"/>
          <w:lang w:val="en-US" w:eastAsia="zh-CN"/>
        </w:rPr>
        <w:t>起重臂臂节1重量为3.744t，起重臂臂节2重量为5.571t</w:t>
      </w:r>
      <w:r>
        <w:rPr>
          <w:rFonts w:hint="eastAsia"/>
          <w:color w:val="000000"/>
        </w:rPr>
        <w:t>。</w:t>
      </w:r>
      <w:r>
        <w:rPr>
          <w:rFonts w:hint="eastAsia"/>
          <w:color w:val="000000"/>
          <w:lang w:eastAsia="zh-CN"/>
        </w:rPr>
        <w:t>100t</w:t>
      </w:r>
      <w:r>
        <w:rPr>
          <w:rFonts w:hint="eastAsia"/>
          <w:color w:val="000000"/>
        </w:rPr>
        <w:t>汽车吊主臂长</w:t>
      </w:r>
      <w:r>
        <w:rPr>
          <w:rFonts w:hint="eastAsia"/>
          <w:color w:val="000000"/>
          <w:lang w:val="en-US" w:eastAsia="zh-CN"/>
        </w:rPr>
        <w:t>43.5</w:t>
      </w:r>
      <w:r>
        <w:rPr>
          <w:rFonts w:hint="eastAsia"/>
          <w:color w:val="000000"/>
        </w:rPr>
        <w:t>m，</w:t>
      </w:r>
      <w:r>
        <w:rPr>
          <w:rFonts w:hint="eastAsia"/>
          <w:color w:val="000000"/>
          <w:lang w:val="en-US" w:eastAsia="zh-CN"/>
        </w:rPr>
        <w:t>吊幅18</w:t>
      </w:r>
      <w:r>
        <w:rPr>
          <w:rFonts w:hint="eastAsia"/>
          <w:color w:val="000000"/>
        </w:rPr>
        <w:t>m，额定起重量为</w:t>
      </w:r>
      <w:r>
        <w:rPr>
          <w:rFonts w:hint="eastAsia"/>
          <w:color w:val="000000"/>
          <w:lang w:val="en-US" w:eastAsia="zh-CN"/>
        </w:rPr>
        <w:t>15</w:t>
      </w:r>
      <w:r>
        <w:rPr>
          <w:rFonts w:hint="eastAsia"/>
          <w:color w:val="000000"/>
          <w:lang w:eastAsia="zh-CN"/>
        </w:rPr>
        <w:t>t</w:t>
      </w:r>
      <w:r>
        <w:rPr>
          <w:rFonts w:hint="eastAsia"/>
          <w:color w:val="000000"/>
        </w:rPr>
        <w:t>&gt;</w:t>
      </w:r>
      <w:r>
        <w:rPr>
          <w:rFonts w:hint="eastAsia"/>
          <w:color w:val="000000"/>
          <w:lang w:val="en-US" w:eastAsia="zh-CN"/>
        </w:rPr>
        <w:t>5.571</w:t>
      </w:r>
      <w:r>
        <w:rPr>
          <w:rFonts w:hint="eastAsia"/>
          <w:color w:val="000000"/>
        </w:rPr>
        <w:t>t，满足拆除吊装要求。</w:t>
      </w:r>
    </w:p>
    <w:p w14:paraId="500C06EB">
      <w:pPr>
        <w:numPr>
          <w:ilvl w:val="0"/>
          <w:numId w:val="4"/>
        </w:numPr>
        <w:ind w:firstLineChars="0"/>
        <w:rPr>
          <w:rFonts w:hint="eastAsia"/>
          <w:color w:val="000000"/>
          <w:lang w:eastAsia="zh-CN"/>
        </w:rPr>
      </w:pPr>
      <w:r>
        <w:rPr>
          <w:rFonts w:hint="eastAsia"/>
          <w:color w:val="000000"/>
        </w:rPr>
        <w:t>起重臂</w:t>
      </w:r>
      <w:r>
        <w:rPr>
          <w:rFonts w:hint="eastAsia"/>
          <w:color w:val="000000"/>
          <w:lang w:val="en-US" w:eastAsia="zh-CN"/>
        </w:rPr>
        <w:t>臂根节</w:t>
      </w:r>
      <w:r>
        <w:rPr>
          <w:rFonts w:hint="eastAsia"/>
          <w:color w:val="000000"/>
        </w:rPr>
        <w:t>吊装采用</w:t>
      </w:r>
      <w:r>
        <w:rPr>
          <w:rFonts w:hint="eastAsia"/>
          <w:color w:val="000000"/>
          <w:lang w:val="en-US" w:eastAsia="zh-CN"/>
        </w:rPr>
        <w:t>四</w:t>
      </w:r>
      <w:r>
        <w:rPr>
          <w:rFonts w:hint="eastAsia"/>
          <w:color w:val="000000"/>
        </w:rPr>
        <w:t>点吊，采用</w:t>
      </w:r>
      <w:r>
        <w:rPr>
          <w:rFonts w:hint="eastAsia"/>
          <w:color w:val="000000"/>
          <w:lang w:val="en-US" w:eastAsia="zh-CN"/>
        </w:rPr>
        <w:t>4</w:t>
      </w:r>
      <w:r>
        <w:rPr>
          <w:rFonts w:hint="eastAsia"/>
          <w:color w:val="000000"/>
          <w:lang w:eastAsia="zh-CN"/>
        </w:rPr>
        <w:t>根</w:t>
      </w:r>
      <w:r>
        <w:rPr>
          <w:rFonts w:hint="eastAsia"/>
          <w:color w:val="000000"/>
          <w:lang w:val="en-US" w:eastAsia="zh-CN"/>
        </w:rPr>
        <w:t>32mm6×19S+FC1870Mpa</w:t>
      </w:r>
      <w:r>
        <w:rPr>
          <w:rFonts w:hint="eastAsia"/>
          <w:color w:val="000000"/>
        </w:rPr>
        <w:t>的钢丝绳配套GB/T 25854-6-DW</w:t>
      </w:r>
      <w:r>
        <w:rPr>
          <w:rFonts w:hint="eastAsia"/>
          <w:color w:val="000000"/>
          <w:lang w:val="en-US" w:eastAsia="zh-CN"/>
        </w:rPr>
        <w:t>10</w:t>
      </w:r>
      <w:r>
        <w:rPr>
          <w:rFonts w:hint="eastAsia"/>
          <w:color w:val="000000"/>
        </w:rPr>
        <w:t>卸扣进行起吊，</w:t>
      </w:r>
      <w:r>
        <w:rPr>
          <w:rFonts w:hint="eastAsia"/>
          <w:color w:val="000000"/>
          <w:lang w:eastAsia="zh-CN"/>
        </w:rPr>
        <w:t>100t</w:t>
      </w:r>
      <w:r>
        <w:rPr>
          <w:rFonts w:hint="eastAsia"/>
          <w:color w:val="000000"/>
        </w:rPr>
        <w:t>汽车吊站位图如下：</w:t>
      </w:r>
    </w:p>
    <w:p w14:paraId="1A3F1B9D">
      <w:pPr>
        <w:numPr>
          <w:ilvl w:val="0"/>
          <w:numId w:val="0"/>
        </w:numPr>
        <w:spacing w:line="240" w:lineRule="auto"/>
        <w:jc w:val="center"/>
      </w:pPr>
      <w:r>
        <w:drawing>
          <wp:inline distT="0" distB="0" distL="114300" distR="114300">
            <wp:extent cx="4884420" cy="4225290"/>
            <wp:effectExtent l="0" t="0" r="11430" b="3810"/>
            <wp:docPr id="8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3"/>
                    <pic:cNvPicPr>
                      <a:picLocks noChangeAspect="1"/>
                    </pic:cNvPicPr>
                  </pic:nvPicPr>
                  <pic:blipFill>
                    <a:blip r:embed="rId54"/>
                    <a:stretch>
                      <a:fillRect/>
                    </a:stretch>
                  </pic:blipFill>
                  <pic:spPr>
                    <a:xfrm>
                      <a:off x="0" y="0"/>
                      <a:ext cx="4884420" cy="4225290"/>
                    </a:xfrm>
                    <a:prstGeom prst="rect">
                      <a:avLst/>
                    </a:prstGeom>
                    <a:noFill/>
                    <a:ln>
                      <a:noFill/>
                    </a:ln>
                  </pic:spPr>
                </pic:pic>
              </a:graphicData>
            </a:graphic>
          </wp:inline>
        </w:drawing>
      </w:r>
      <w:r>
        <w:drawing>
          <wp:inline distT="0" distB="0" distL="114300" distR="114300">
            <wp:extent cx="4558665" cy="4402455"/>
            <wp:effectExtent l="0" t="0" r="13335" b="17145"/>
            <wp:docPr id="7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2"/>
                    <pic:cNvPicPr>
                      <a:picLocks noChangeAspect="1"/>
                    </pic:cNvPicPr>
                  </pic:nvPicPr>
                  <pic:blipFill>
                    <a:blip r:embed="rId55"/>
                    <a:stretch>
                      <a:fillRect/>
                    </a:stretch>
                  </pic:blipFill>
                  <pic:spPr>
                    <a:xfrm>
                      <a:off x="0" y="0"/>
                      <a:ext cx="4558665" cy="4402455"/>
                    </a:xfrm>
                    <a:prstGeom prst="rect">
                      <a:avLst/>
                    </a:prstGeom>
                    <a:noFill/>
                    <a:ln>
                      <a:noFill/>
                    </a:ln>
                  </pic:spPr>
                </pic:pic>
              </a:graphicData>
            </a:graphic>
          </wp:inline>
        </w:drawing>
      </w:r>
    </w:p>
    <w:p w14:paraId="580BBB52">
      <w:pPr>
        <w:numPr>
          <w:ilvl w:val="0"/>
          <w:numId w:val="0"/>
        </w:numPr>
        <w:spacing w:line="240" w:lineRule="auto"/>
        <w:jc w:val="center"/>
        <w:rPr>
          <w:rFonts w:hint="default"/>
          <w:lang w:val="en-US" w:eastAsia="zh-CN"/>
        </w:rPr>
      </w:pPr>
      <w:r>
        <w:drawing>
          <wp:inline distT="0" distB="0" distL="114300" distR="114300">
            <wp:extent cx="5090795" cy="3820795"/>
            <wp:effectExtent l="0" t="0" r="14605" b="8255"/>
            <wp:docPr id="7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41"/>
                    <pic:cNvPicPr>
                      <a:picLocks noChangeAspect="1"/>
                    </pic:cNvPicPr>
                  </pic:nvPicPr>
                  <pic:blipFill>
                    <a:blip r:embed="rId56"/>
                    <a:stretch>
                      <a:fillRect/>
                    </a:stretch>
                  </pic:blipFill>
                  <pic:spPr>
                    <a:xfrm>
                      <a:off x="0" y="0"/>
                      <a:ext cx="5090795" cy="3820795"/>
                    </a:xfrm>
                    <a:prstGeom prst="rect">
                      <a:avLst/>
                    </a:prstGeom>
                    <a:noFill/>
                    <a:ln>
                      <a:noFill/>
                    </a:ln>
                  </pic:spPr>
                </pic:pic>
              </a:graphicData>
            </a:graphic>
          </wp:inline>
        </w:drawing>
      </w:r>
      <w:r>
        <w:drawing>
          <wp:inline distT="0" distB="0" distL="114300" distR="114300">
            <wp:extent cx="4856480" cy="4530725"/>
            <wp:effectExtent l="0" t="0" r="1270" b="3175"/>
            <wp:docPr id="77"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40"/>
                    <pic:cNvPicPr>
                      <a:picLocks noChangeAspect="1"/>
                    </pic:cNvPicPr>
                  </pic:nvPicPr>
                  <pic:blipFill>
                    <a:blip r:embed="rId57"/>
                    <a:stretch>
                      <a:fillRect/>
                    </a:stretch>
                  </pic:blipFill>
                  <pic:spPr>
                    <a:xfrm>
                      <a:off x="0" y="0"/>
                      <a:ext cx="4856480" cy="4530725"/>
                    </a:xfrm>
                    <a:prstGeom prst="rect">
                      <a:avLst/>
                    </a:prstGeom>
                    <a:noFill/>
                    <a:ln>
                      <a:noFill/>
                    </a:ln>
                  </pic:spPr>
                </pic:pic>
              </a:graphicData>
            </a:graphic>
          </wp:inline>
        </w:drawing>
      </w:r>
    </w:p>
    <w:p w14:paraId="3953DE3E">
      <w:pPr>
        <w:ind w:firstLine="0" w:firstLineChars="0"/>
        <w:jc w:val="center"/>
        <w:rPr>
          <w:b/>
          <w:color w:val="000000"/>
          <w:sz w:val="21"/>
          <w:szCs w:val="21"/>
        </w:rPr>
      </w:pPr>
      <w:r>
        <w:rPr>
          <w:rFonts w:hint="eastAsia"/>
          <w:b/>
          <w:color w:val="000000"/>
          <w:sz w:val="21"/>
          <w:szCs w:val="21"/>
        </w:rPr>
        <w:t xml:space="preserve">图 </w:t>
      </w:r>
      <w:r>
        <w:rPr>
          <w:rFonts w:hint="eastAsia"/>
          <w:b/>
          <w:color w:val="000000"/>
          <w:sz w:val="21"/>
          <w:szCs w:val="21"/>
        </w:rPr>
        <w:fldChar w:fldCharType="begin"/>
      </w:r>
      <w:r>
        <w:rPr>
          <w:rFonts w:hint="eastAsia"/>
          <w:b/>
          <w:color w:val="000000"/>
          <w:sz w:val="21"/>
          <w:szCs w:val="21"/>
        </w:rPr>
        <w:instrText xml:space="preserve"> STYLEREF 2 \s </w:instrText>
      </w:r>
      <w:r>
        <w:rPr>
          <w:rFonts w:hint="eastAsia"/>
          <w:b/>
          <w:color w:val="000000"/>
          <w:sz w:val="21"/>
          <w:szCs w:val="21"/>
        </w:rPr>
        <w:fldChar w:fldCharType="separate"/>
      </w:r>
      <w:r>
        <w:rPr>
          <w:rFonts w:hint="eastAsia"/>
          <w:b/>
          <w:color w:val="000000"/>
          <w:sz w:val="21"/>
          <w:szCs w:val="21"/>
        </w:rPr>
        <w:t>5.2</w:t>
      </w:r>
      <w:r>
        <w:rPr>
          <w:rFonts w:hint="eastAsia"/>
          <w:b/>
          <w:color w:val="000000"/>
          <w:sz w:val="21"/>
          <w:szCs w:val="21"/>
        </w:rPr>
        <w:fldChar w:fldCharType="end"/>
      </w:r>
      <w:r>
        <w:rPr>
          <w:rFonts w:hint="eastAsia"/>
          <w:b/>
          <w:color w:val="000000"/>
          <w:sz w:val="21"/>
          <w:szCs w:val="21"/>
        </w:rPr>
        <w:t>-</w:t>
      </w:r>
      <w:r>
        <w:rPr>
          <w:rFonts w:hint="eastAsia"/>
          <w:b/>
          <w:color w:val="000000"/>
          <w:sz w:val="21"/>
          <w:szCs w:val="21"/>
        </w:rPr>
        <w:fldChar w:fldCharType="begin"/>
      </w:r>
      <w:r>
        <w:rPr>
          <w:rFonts w:hint="eastAsia"/>
          <w:b/>
          <w:color w:val="000000"/>
          <w:sz w:val="21"/>
          <w:szCs w:val="21"/>
        </w:rPr>
        <w:instrText xml:space="preserve"> SEQ 图 \* ARABIC \s 2 </w:instrText>
      </w:r>
      <w:r>
        <w:rPr>
          <w:rFonts w:hint="eastAsia"/>
          <w:b/>
          <w:color w:val="000000"/>
          <w:sz w:val="21"/>
          <w:szCs w:val="21"/>
        </w:rPr>
        <w:fldChar w:fldCharType="separate"/>
      </w:r>
      <w:r>
        <w:rPr>
          <w:rFonts w:hint="eastAsia"/>
          <w:b/>
          <w:color w:val="000000"/>
          <w:sz w:val="21"/>
          <w:szCs w:val="21"/>
        </w:rPr>
        <w:t>20</w:t>
      </w:r>
      <w:r>
        <w:rPr>
          <w:rFonts w:hint="eastAsia"/>
          <w:b/>
          <w:color w:val="000000"/>
          <w:sz w:val="21"/>
          <w:szCs w:val="21"/>
        </w:rPr>
        <w:fldChar w:fldCharType="end"/>
      </w:r>
      <w:r>
        <w:rPr>
          <w:rFonts w:hint="eastAsia"/>
          <w:b/>
          <w:color w:val="000000"/>
          <w:sz w:val="21"/>
          <w:szCs w:val="21"/>
        </w:rPr>
        <w:t>起重臂</w:t>
      </w:r>
      <w:r>
        <w:rPr>
          <w:rFonts w:hint="eastAsia"/>
          <w:b/>
          <w:color w:val="000000"/>
          <w:sz w:val="21"/>
          <w:szCs w:val="21"/>
          <w:lang w:val="en-US" w:eastAsia="zh-CN"/>
        </w:rPr>
        <w:t>臂根节</w:t>
      </w:r>
      <w:r>
        <w:rPr>
          <w:rFonts w:hint="eastAsia"/>
          <w:b/>
          <w:color w:val="000000"/>
          <w:sz w:val="21"/>
          <w:szCs w:val="21"/>
        </w:rPr>
        <w:t>拆除示意图</w:t>
      </w:r>
    </w:p>
    <w:p w14:paraId="4633DF79">
      <w:pPr>
        <w:numPr>
          <w:ilvl w:val="0"/>
          <w:numId w:val="4"/>
        </w:numPr>
        <w:ind w:firstLineChars="0"/>
        <w:rPr>
          <w:color w:val="000000"/>
          <w:sz w:val="24"/>
          <w:szCs w:val="24"/>
        </w:rPr>
      </w:pPr>
      <w:r>
        <w:rPr>
          <w:rFonts w:hint="eastAsia"/>
          <w:color w:val="000000"/>
        </w:rPr>
        <w:t>作业人员在地面上先将钢丝绳一端挂在汽车吊吊钩上，启动汽车吊，将钢丝绳缓慢提升至起重臂上方时，作业人员通过爬梯爬至回转塔身平台上，将安全带交替系挂在起重臂安全绳上，沿下弦杆走行至起重臂吊点位置处。汽车吊放松吊钩，将另一端钢丝绳与起重臂腹杆节点捆绑连接，采用卸扣固定，同时在起重臂腹杆上栓好2根溜绳。作业人员沿下弦杆走行至起重臂臂节一处，汽车吊轻轻将起重臂往上抬，拆除起重臂和起重臂之间的连接销轴，汽车吊起升吊钩，将起重臂竖直起吊一定安全高度后，再将起重臂下放至地面，稳固后汽车吊放松吊钩，作业人员在地面上解除钢丝绳与起重臂吊点的连接。</w:t>
      </w:r>
    </w:p>
    <w:p w14:paraId="1334153F">
      <w:pPr>
        <w:numPr>
          <w:ilvl w:val="0"/>
          <w:numId w:val="4"/>
        </w:numPr>
        <w:ind w:firstLineChars="0"/>
      </w:pPr>
      <w:r>
        <w:rPr>
          <w:rFonts w:hint="eastAsia"/>
          <w:color w:val="000000"/>
        </w:rPr>
        <w:t>塔式起重机起重臂拆除时设置警戒区，起吊安排专人负责指挥，专人操作，严禁无关人员进入起重作业范围内。</w:t>
      </w:r>
    </w:p>
    <w:p w14:paraId="581BEA57">
      <w:pPr>
        <w:pStyle w:val="4"/>
        <w:rPr>
          <w:color w:val="000000"/>
        </w:rPr>
      </w:pPr>
      <w:r>
        <w:rPr>
          <w:rFonts w:hint="eastAsia"/>
          <w:color w:val="000000"/>
          <w:lang w:val="en-US" w:eastAsia="zh-CN"/>
        </w:rPr>
        <w:t>拆除塔顶</w:t>
      </w:r>
    </w:p>
    <w:p w14:paraId="38E1FE4E">
      <w:pPr>
        <w:numPr>
          <w:ilvl w:val="0"/>
          <w:numId w:val="5"/>
        </w:numPr>
        <w:ind w:firstLineChars="0"/>
        <w:rPr>
          <w:color w:val="000000"/>
        </w:rPr>
      </w:pPr>
      <w:r>
        <w:rPr>
          <w:rFonts w:hint="eastAsia"/>
          <w:color w:val="000000"/>
          <w:lang w:eastAsia="zh-CN"/>
        </w:rPr>
        <w:t>100t</w:t>
      </w:r>
      <w:r>
        <w:rPr>
          <w:rFonts w:hint="eastAsia"/>
          <w:color w:val="000000"/>
        </w:rPr>
        <w:t>汽车吊位置不变，主臂长</w:t>
      </w:r>
      <w:r>
        <w:rPr>
          <w:rFonts w:hint="eastAsia"/>
          <w:color w:val="000000"/>
          <w:lang w:val="en-US" w:eastAsia="zh-CN"/>
        </w:rPr>
        <w:t>43.5</w:t>
      </w:r>
      <w:r>
        <w:rPr>
          <w:rFonts w:hint="eastAsia"/>
          <w:color w:val="000000"/>
        </w:rPr>
        <w:t>m，</w:t>
      </w:r>
      <w:r>
        <w:rPr>
          <w:rFonts w:hint="eastAsia"/>
          <w:color w:val="000000"/>
          <w:lang w:val="en-US" w:eastAsia="zh-CN"/>
        </w:rPr>
        <w:t>吊幅12</w:t>
      </w:r>
      <w:r>
        <w:rPr>
          <w:rFonts w:hint="eastAsia"/>
          <w:color w:val="000000"/>
        </w:rPr>
        <w:t>m，额定起重量为</w:t>
      </w:r>
      <w:r>
        <w:rPr>
          <w:rFonts w:hint="eastAsia"/>
          <w:color w:val="000000"/>
          <w:lang w:val="en-US" w:eastAsia="zh-CN"/>
        </w:rPr>
        <w:t>23</w:t>
      </w:r>
      <w:r>
        <w:rPr>
          <w:rFonts w:hint="eastAsia"/>
          <w:color w:val="000000"/>
          <w:lang w:eastAsia="zh-CN"/>
        </w:rPr>
        <w:t>t</w:t>
      </w:r>
      <w:r>
        <w:rPr>
          <w:rFonts w:hint="eastAsia"/>
          <w:color w:val="000000"/>
        </w:rPr>
        <w:t>＞</w:t>
      </w:r>
      <w:r>
        <w:rPr>
          <w:rFonts w:hint="eastAsia"/>
          <w:color w:val="000000"/>
          <w:lang w:val="en-US" w:eastAsia="zh-CN"/>
        </w:rPr>
        <w:t>5.972</w:t>
      </w:r>
      <w:r>
        <w:rPr>
          <w:rFonts w:hint="eastAsia"/>
          <w:color w:val="000000"/>
        </w:rPr>
        <w:t>t，满足拆除吊装要求。</w:t>
      </w:r>
    </w:p>
    <w:p w14:paraId="00477D4A">
      <w:pPr>
        <w:numPr>
          <w:ilvl w:val="0"/>
          <w:numId w:val="5"/>
        </w:numPr>
        <w:ind w:firstLineChars="0"/>
        <w:rPr>
          <w:color w:val="000000"/>
        </w:rPr>
      </w:pPr>
      <w:r>
        <w:rPr>
          <w:rFonts w:hint="eastAsia"/>
          <w:color w:val="000000"/>
          <w:lang w:eastAsia="zh-CN"/>
        </w:rPr>
        <w:t>塔顶</w:t>
      </w:r>
      <w:r>
        <w:rPr>
          <w:rFonts w:hint="eastAsia"/>
          <w:color w:val="000000"/>
        </w:rPr>
        <w:t>吊装采用四点吊，以</w:t>
      </w:r>
      <w:r>
        <w:rPr>
          <w:rFonts w:hint="eastAsia"/>
          <w:color w:val="000000"/>
          <w:lang w:eastAsia="zh-CN"/>
        </w:rPr>
        <w:t>塔顶</w:t>
      </w:r>
      <w:r>
        <w:rPr>
          <w:rFonts w:hint="eastAsia"/>
          <w:color w:val="000000"/>
        </w:rPr>
        <w:t>顶部4个吊耳板作为吊装孔，采用</w:t>
      </w:r>
      <w:r>
        <w:rPr>
          <w:rFonts w:hint="eastAsia"/>
          <w:color w:val="000000"/>
          <w:lang w:eastAsia="zh-CN"/>
        </w:rPr>
        <w:t>4根32mm6×19S+FC1870Mpa</w:t>
      </w:r>
      <w:r>
        <w:rPr>
          <w:rFonts w:hint="eastAsia"/>
          <w:color w:val="000000"/>
        </w:rPr>
        <w:t>的钢丝绳配套GB/T 25854-6-DW</w:t>
      </w:r>
      <w:r>
        <w:rPr>
          <w:rFonts w:hint="eastAsia"/>
          <w:color w:val="000000"/>
          <w:lang w:val="en-US" w:eastAsia="zh-CN"/>
        </w:rPr>
        <w:t>10</w:t>
      </w:r>
      <w:r>
        <w:rPr>
          <w:rFonts w:hint="eastAsia"/>
          <w:color w:val="000000"/>
        </w:rPr>
        <w:t>卸扣进行起吊。</w:t>
      </w:r>
    </w:p>
    <w:p w14:paraId="2623D581">
      <w:pPr>
        <w:numPr>
          <w:ilvl w:val="0"/>
          <w:numId w:val="5"/>
        </w:numPr>
        <w:ind w:firstLineChars="0"/>
        <w:rPr>
          <w:color w:val="000000"/>
        </w:rPr>
      </w:pPr>
      <w:r>
        <w:rPr>
          <w:rFonts w:hint="eastAsia"/>
          <w:color w:val="000000"/>
        </w:rPr>
        <w:t>作业人员在地面上先将钢丝绳一端挂在汽车吊吊钩上，另一端与卸扣连接，启动汽车吊，将卸扣缓慢提升至</w:t>
      </w:r>
      <w:r>
        <w:rPr>
          <w:rFonts w:hint="eastAsia"/>
          <w:color w:val="000000"/>
          <w:lang w:eastAsia="zh-CN"/>
        </w:rPr>
        <w:t>塔顶</w:t>
      </w:r>
      <w:r>
        <w:rPr>
          <w:rFonts w:hint="eastAsia"/>
          <w:color w:val="000000"/>
        </w:rPr>
        <w:t>上方，作业人员通过爬梯爬至</w:t>
      </w:r>
      <w:r>
        <w:rPr>
          <w:rFonts w:hint="eastAsia"/>
          <w:color w:val="000000"/>
          <w:lang w:eastAsia="zh-CN"/>
        </w:rPr>
        <w:t>塔顶</w:t>
      </w:r>
      <w:r>
        <w:rPr>
          <w:rFonts w:hint="eastAsia"/>
          <w:color w:val="000000"/>
        </w:rPr>
        <w:t>顶部，将安全带系挂在</w:t>
      </w:r>
      <w:r>
        <w:rPr>
          <w:rFonts w:hint="eastAsia"/>
          <w:color w:val="000000"/>
          <w:lang w:eastAsia="zh-CN"/>
        </w:rPr>
        <w:t>塔顶</w:t>
      </w:r>
      <w:r>
        <w:rPr>
          <w:rFonts w:hint="eastAsia"/>
          <w:color w:val="000000"/>
        </w:rPr>
        <w:t>平台的栏杆上，位于</w:t>
      </w:r>
      <w:r>
        <w:rPr>
          <w:rFonts w:hint="eastAsia"/>
          <w:color w:val="000000"/>
          <w:lang w:eastAsia="zh-CN"/>
        </w:rPr>
        <w:t>塔顶</w:t>
      </w:r>
      <w:r>
        <w:rPr>
          <w:rFonts w:hint="eastAsia"/>
          <w:color w:val="000000"/>
        </w:rPr>
        <w:t>平台上。汽车吊放松吊钩，作业人员将卸扣与</w:t>
      </w:r>
      <w:r>
        <w:rPr>
          <w:rFonts w:hint="eastAsia"/>
          <w:color w:val="000000"/>
          <w:lang w:eastAsia="zh-CN"/>
        </w:rPr>
        <w:t>塔顶</w:t>
      </w:r>
      <w:r>
        <w:rPr>
          <w:rFonts w:hint="eastAsia"/>
          <w:color w:val="000000"/>
        </w:rPr>
        <w:t>顶部的4个销轴孔用销轴连接，同时在</w:t>
      </w:r>
      <w:r>
        <w:rPr>
          <w:rFonts w:hint="eastAsia"/>
          <w:color w:val="000000"/>
          <w:lang w:eastAsia="zh-CN"/>
        </w:rPr>
        <w:t>塔顶</w:t>
      </w:r>
      <w:r>
        <w:rPr>
          <w:rFonts w:hint="eastAsia"/>
          <w:color w:val="000000"/>
        </w:rPr>
        <w:t>上栓好2根溜绳，作业人员解除安全带，通过爬梯爬至</w:t>
      </w:r>
      <w:r>
        <w:rPr>
          <w:rFonts w:hint="eastAsia"/>
          <w:color w:val="000000"/>
          <w:lang w:eastAsia="zh-CN"/>
        </w:rPr>
        <w:t>回转总成</w:t>
      </w:r>
      <w:r>
        <w:rPr>
          <w:rFonts w:hint="eastAsia"/>
          <w:color w:val="000000"/>
        </w:rPr>
        <w:t>顶部，将安全带系挂在</w:t>
      </w:r>
      <w:r>
        <w:rPr>
          <w:rFonts w:hint="eastAsia"/>
          <w:color w:val="000000"/>
          <w:lang w:eastAsia="zh-CN"/>
        </w:rPr>
        <w:t>回转总成</w:t>
      </w:r>
      <w:r>
        <w:rPr>
          <w:rFonts w:hint="eastAsia"/>
          <w:color w:val="000000"/>
        </w:rPr>
        <w:t>顶部横杆上，站立在</w:t>
      </w:r>
      <w:r>
        <w:rPr>
          <w:rFonts w:hint="eastAsia"/>
          <w:color w:val="000000"/>
          <w:lang w:eastAsia="zh-CN"/>
        </w:rPr>
        <w:t>回转总成</w:t>
      </w:r>
      <w:r>
        <w:rPr>
          <w:rFonts w:hint="eastAsia"/>
          <w:color w:val="000000"/>
        </w:rPr>
        <w:t>顶部的平台上，解除</w:t>
      </w:r>
      <w:r>
        <w:rPr>
          <w:rFonts w:hint="eastAsia"/>
          <w:color w:val="000000"/>
          <w:lang w:eastAsia="zh-CN"/>
        </w:rPr>
        <w:t>塔顶</w:t>
      </w:r>
      <w:r>
        <w:rPr>
          <w:rFonts w:hint="eastAsia"/>
          <w:color w:val="000000"/>
        </w:rPr>
        <w:t>底部下支座与</w:t>
      </w:r>
      <w:r>
        <w:rPr>
          <w:rFonts w:hint="eastAsia"/>
          <w:color w:val="000000"/>
          <w:lang w:eastAsia="zh-CN"/>
        </w:rPr>
        <w:t>回转总成</w:t>
      </w:r>
      <w:r>
        <w:rPr>
          <w:rFonts w:hint="eastAsia"/>
          <w:color w:val="000000"/>
        </w:rPr>
        <w:t>之间的销轴连接，使</w:t>
      </w:r>
      <w:r>
        <w:rPr>
          <w:rFonts w:hint="eastAsia"/>
          <w:color w:val="000000"/>
          <w:lang w:eastAsia="zh-CN"/>
        </w:rPr>
        <w:t>塔顶</w:t>
      </w:r>
      <w:r>
        <w:rPr>
          <w:rFonts w:hint="eastAsia"/>
          <w:color w:val="000000"/>
        </w:rPr>
        <w:t>与</w:t>
      </w:r>
      <w:r>
        <w:rPr>
          <w:rFonts w:hint="eastAsia"/>
          <w:color w:val="000000"/>
          <w:lang w:eastAsia="zh-CN"/>
        </w:rPr>
        <w:t>回转总成</w:t>
      </w:r>
      <w:r>
        <w:rPr>
          <w:rFonts w:hint="eastAsia"/>
          <w:color w:val="000000"/>
        </w:rPr>
        <w:t>断开。汽车吊起升吊钩，将</w:t>
      </w:r>
      <w:r>
        <w:rPr>
          <w:rFonts w:hint="eastAsia"/>
          <w:color w:val="000000"/>
          <w:lang w:eastAsia="zh-CN"/>
        </w:rPr>
        <w:t>塔顶</w:t>
      </w:r>
      <w:r>
        <w:rPr>
          <w:rFonts w:hint="eastAsia"/>
          <w:color w:val="000000"/>
        </w:rPr>
        <w:t>提升一定安全高度后，再将</w:t>
      </w:r>
      <w:r>
        <w:rPr>
          <w:rFonts w:hint="eastAsia"/>
          <w:color w:val="000000"/>
          <w:lang w:eastAsia="zh-CN"/>
        </w:rPr>
        <w:t>塔顶</w:t>
      </w:r>
      <w:r>
        <w:rPr>
          <w:rFonts w:hint="eastAsia"/>
          <w:color w:val="000000"/>
        </w:rPr>
        <w:t>下放至地面，作业人员在地面上解除卸扣与</w:t>
      </w:r>
      <w:r>
        <w:rPr>
          <w:rFonts w:hint="eastAsia"/>
          <w:color w:val="000000"/>
          <w:lang w:eastAsia="zh-CN"/>
        </w:rPr>
        <w:t>塔顶</w:t>
      </w:r>
      <w:r>
        <w:rPr>
          <w:rFonts w:hint="eastAsia"/>
          <w:color w:val="000000"/>
        </w:rPr>
        <w:t>的连接。</w:t>
      </w:r>
    </w:p>
    <w:p w14:paraId="41CE995F">
      <w:pPr>
        <w:numPr>
          <w:ilvl w:val="0"/>
          <w:numId w:val="5"/>
        </w:numPr>
        <w:ind w:firstLineChars="0"/>
        <w:rPr>
          <w:color w:val="000000"/>
        </w:rPr>
      </w:pPr>
      <w:r>
        <w:rPr>
          <w:rFonts w:hint="eastAsia"/>
          <w:color w:val="000000"/>
        </w:rPr>
        <w:t>塔式起重机</w:t>
      </w:r>
      <w:r>
        <w:rPr>
          <w:rFonts w:hint="eastAsia"/>
          <w:color w:val="000000"/>
          <w:lang w:eastAsia="zh-CN"/>
        </w:rPr>
        <w:t>塔顶</w:t>
      </w:r>
      <w:r>
        <w:rPr>
          <w:rFonts w:hint="eastAsia"/>
          <w:color w:val="000000"/>
        </w:rPr>
        <w:t>拆除时设置警戒区，起吊安排专人负责指挥，专人操作，严禁无关人员进入起重作业范围内。</w:t>
      </w:r>
    </w:p>
    <w:p w14:paraId="6A53F7B7">
      <w:pPr>
        <w:widowControl w:val="0"/>
        <w:spacing w:line="240" w:lineRule="auto"/>
        <w:ind w:firstLine="0" w:firstLineChars="0"/>
        <w:jc w:val="center"/>
        <w:rPr>
          <w:rFonts w:hint="default" w:eastAsia="仿宋"/>
          <w:color w:val="000000"/>
          <w:lang w:val="en-US" w:eastAsia="zh-CN"/>
        </w:rPr>
      </w:pPr>
      <w:r>
        <w:drawing>
          <wp:inline distT="0" distB="0" distL="114300" distR="114300">
            <wp:extent cx="5090795" cy="4010660"/>
            <wp:effectExtent l="0" t="0" r="14605" b="8890"/>
            <wp:docPr id="8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45"/>
                    <pic:cNvPicPr>
                      <a:picLocks noChangeAspect="1"/>
                    </pic:cNvPicPr>
                  </pic:nvPicPr>
                  <pic:blipFill>
                    <a:blip r:embed="rId58"/>
                    <a:stretch>
                      <a:fillRect/>
                    </a:stretch>
                  </pic:blipFill>
                  <pic:spPr>
                    <a:xfrm>
                      <a:off x="0" y="0"/>
                      <a:ext cx="5090795" cy="4010660"/>
                    </a:xfrm>
                    <a:prstGeom prst="rect">
                      <a:avLst/>
                    </a:prstGeom>
                    <a:noFill/>
                    <a:ln>
                      <a:noFill/>
                    </a:ln>
                  </pic:spPr>
                </pic:pic>
              </a:graphicData>
            </a:graphic>
          </wp:inline>
        </w:drawing>
      </w:r>
      <w:r>
        <w:drawing>
          <wp:inline distT="0" distB="0" distL="114300" distR="114300">
            <wp:extent cx="3288665" cy="4418330"/>
            <wp:effectExtent l="0" t="0" r="6985" b="127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59"/>
                    <a:stretch>
                      <a:fillRect/>
                    </a:stretch>
                  </pic:blipFill>
                  <pic:spPr>
                    <a:xfrm>
                      <a:off x="0" y="0"/>
                      <a:ext cx="3288665" cy="4418330"/>
                    </a:xfrm>
                    <a:prstGeom prst="rect">
                      <a:avLst/>
                    </a:prstGeom>
                    <a:noFill/>
                    <a:ln>
                      <a:noFill/>
                    </a:ln>
                  </pic:spPr>
                </pic:pic>
              </a:graphicData>
            </a:graphic>
          </wp:inline>
        </w:drawing>
      </w:r>
    </w:p>
    <w:p w14:paraId="593E6020">
      <w:pPr>
        <w:ind w:firstLine="0" w:firstLineChars="0"/>
        <w:jc w:val="center"/>
      </w:pPr>
      <w:r>
        <w:rPr>
          <w:rFonts w:hint="eastAsia"/>
          <w:b/>
          <w:color w:val="000000"/>
          <w:sz w:val="21"/>
          <w:szCs w:val="21"/>
        </w:rPr>
        <w:t xml:space="preserve">图 </w:t>
      </w:r>
      <w:r>
        <w:rPr>
          <w:rFonts w:hint="eastAsia"/>
          <w:b/>
          <w:color w:val="000000"/>
          <w:sz w:val="21"/>
          <w:szCs w:val="21"/>
        </w:rPr>
        <w:fldChar w:fldCharType="begin"/>
      </w:r>
      <w:r>
        <w:rPr>
          <w:rFonts w:hint="eastAsia"/>
          <w:b/>
          <w:color w:val="000000"/>
          <w:sz w:val="21"/>
          <w:szCs w:val="21"/>
        </w:rPr>
        <w:instrText xml:space="preserve"> STYLEREF 2 \s </w:instrText>
      </w:r>
      <w:r>
        <w:rPr>
          <w:rFonts w:hint="eastAsia"/>
          <w:b/>
          <w:color w:val="000000"/>
          <w:sz w:val="21"/>
          <w:szCs w:val="21"/>
        </w:rPr>
        <w:fldChar w:fldCharType="separate"/>
      </w:r>
      <w:r>
        <w:rPr>
          <w:rFonts w:hint="eastAsia"/>
          <w:b/>
          <w:color w:val="000000"/>
          <w:sz w:val="21"/>
          <w:szCs w:val="21"/>
        </w:rPr>
        <w:t>5.2</w:t>
      </w:r>
      <w:r>
        <w:rPr>
          <w:rFonts w:hint="eastAsia"/>
          <w:b/>
          <w:color w:val="000000"/>
          <w:sz w:val="21"/>
          <w:szCs w:val="21"/>
        </w:rPr>
        <w:fldChar w:fldCharType="end"/>
      </w:r>
      <w:r>
        <w:rPr>
          <w:rFonts w:hint="eastAsia"/>
          <w:b/>
          <w:color w:val="000000"/>
          <w:sz w:val="21"/>
          <w:szCs w:val="21"/>
        </w:rPr>
        <w:t>-</w:t>
      </w:r>
      <w:r>
        <w:rPr>
          <w:rFonts w:hint="eastAsia"/>
          <w:b/>
          <w:color w:val="000000"/>
          <w:sz w:val="21"/>
          <w:szCs w:val="21"/>
        </w:rPr>
        <w:fldChar w:fldCharType="begin"/>
      </w:r>
      <w:r>
        <w:rPr>
          <w:rFonts w:hint="eastAsia"/>
          <w:b/>
          <w:color w:val="000000"/>
          <w:sz w:val="21"/>
          <w:szCs w:val="21"/>
        </w:rPr>
        <w:instrText xml:space="preserve"> SEQ 图 \* ARABIC \s 2 </w:instrText>
      </w:r>
      <w:r>
        <w:rPr>
          <w:rFonts w:hint="eastAsia"/>
          <w:b/>
          <w:color w:val="000000"/>
          <w:sz w:val="21"/>
          <w:szCs w:val="21"/>
        </w:rPr>
        <w:fldChar w:fldCharType="separate"/>
      </w:r>
      <w:r>
        <w:rPr>
          <w:rFonts w:hint="eastAsia"/>
          <w:b/>
          <w:color w:val="000000"/>
          <w:sz w:val="21"/>
          <w:szCs w:val="21"/>
        </w:rPr>
        <w:t>21</w:t>
      </w:r>
      <w:r>
        <w:rPr>
          <w:rFonts w:hint="eastAsia"/>
          <w:b/>
          <w:color w:val="000000"/>
          <w:sz w:val="21"/>
          <w:szCs w:val="21"/>
        </w:rPr>
        <w:fldChar w:fldCharType="end"/>
      </w:r>
      <w:r>
        <w:rPr>
          <w:rFonts w:hint="eastAsia"/>
          <w:b/>
          <w:color w:val="000000"/>
          <w:sz w:val="21"/>
          <w:szCs w:val="21"/>
          <w:lang w:val="en-US" w:eastAsia="zh-CN"/>
        </w:rPr>
        <w:t xml:space="preserve">  </w:t>
      </w:r>
      <w:r>
        <w:rPr>
          <w:rFonts w:hint="eastAsia"/>
          <w:b/>
          <w:color w:val="000000"/>
          <w:sz w:val="21"/>
          <w:szCs w:val="21"/>
          <w:lang w:eastAsia="zh-CN"/>
        </w:rPr>
        <w:t>塔顶</w:t>
      </w:r>
      <w:r>
        <w:rPr>
          <w:rFonts w:hint="eastAsia"/>
          <w:b/>
          <w:color w:val="000000"/>
          <w:sz w:val="21"/>
          <w:szCs w:val="21"/>
        </w:rPr>
        <w:t>拆除示意图</w:t>
      </w:r>
    </w:p>
    <w:p w14:paraId="697D74AF">
      <w:pPr>
        <w:pStyle w:val="4"/>
        <w:rPr>
          <w:color w:val="000000"/>
        </w:rPr>
      </w:pPr>
      <w:r>
        <w:rPr>
          <w:rFonts w:hint="eastAsia"/>
          <w:color w:val="000000"/>
        </w:rPr>
        <w:t>拆除回转总成</w:t>
      </w:r>
    </w:p>
    <w:p w14:paraId="31E2220C">
      <w:pPr>
        <w:numPr>
          <w:ilvl w:val="0"/>
          <w:numId w:val="6"/>
        </w:numPr>
        <w:ind w:firstLineChars="0"/>
        <w:rPr>
          <w:color w:val="000000"/>
        </w:rPr>
      </w:pPr>
      <w:r>
        <w:rPr>
          <w:rFonts w:hint="eastAsia"/>
          <w:color w:val="000000"/>
          <w:lang w:eastAsia="zh-CN"/>
        </w:rPr>
        <w:t>100t</w:t>
      </w:r>
      <w:r>
        <w:rPr>
          <w:rFonts w:hint="eastAsia"/>
          <w:color w:val="000000"/>
        </w:rPr>
        <w:t>汽车吊位置不变，主臂长</w:t>
      </w:r>
      <w:r>
        <w:rPr>
          <w:rFonts w:hint="eastAsia"/>
          <w:color w:val="000000"/>
          <w:lang w:val="en-US" w:eastAsia="zh-CN"/>
        </w:rPr>
        <w:t>43.5</w:t>
      </w:r>
      <w:r>
        <w:rPr>
          <w:rFonts w:hint="eastAsia"/>
          <w:color w:val="000000"/>
        </w:rPr>
        <w:t>m，</w:t>
      </w:r>
      <w:r>
        <w:rPr>
          <w:rFonts w:hint="eastAsia"/>
          <w:color w:val="000000"/>
          <w:lang w:val="en-US" w:eastAsia="zh-CN"/>
        </w:rPr>
        <w:t>吊幅12</w:t>
      </w:r>
      <w:r>
        <w:rPr>
          <w:rFonts w:hint="eastAsia"/>
          <w:color w:val="000000"/>
        </w:rPr>
        <w:t>m，额定起重量为</w:t>
      </w:r>
      <w:r>
        <w:rPr>
          <w:rFonts w:hint="eastAsia"/>
          <w:color w:val="000000"/>
          <w:lang w:val="en-US" w:eastAsia="zh-CN"/>
        </w:rPr>
        <w:t>23</w:t>
      </w:r>
      <w:r>
        <w:rPr>
          <w:rFonts w:hint="eastAsia"/>
          <w:color w:val="000000"/>
          <w:lang w:eastAsia="zh-CN"/>
        </w:rPr>
        <w:t>t</w:t>
      </w:r>
      <w:r>
        <w:rPr>
          <w:rFonts w:hint="eastAsia"/>
          <w:color w:val="000000"/>
        </w:rPr>
        <w:t>＞</w:t>
      </w:r>
      <w:r>
        <w:rPr>
          <w:rFonts w:hint="eastAsia"/>
          <w:color w:val="000000"/>
          <w:lang w:val="en-US" w:eastAsia="zh-CN"/>
        </w:rPr>
        <w:t>17.08</w:t>
      </w:r>
      <w:r>
        <w:rPr>
          <w:rFonts w:hint="eastAsia"/>
          <w:color w:val="000000"/>
        </w:rPr>
        <w:t>t，满足拆除吊装要求。</w:t>
      </w:r>
    </w:p>
    <w:p w14:paraId="1027CD18">
      <w:pPr>
        <w:numPr>
          <w:ilvl w:val="0"/>
          <w:numId w:val="6"/>
        </w:numPr>
        <w:ind w:firstLineChars="0"/>
        <w:rPr>
          <w:color w:val="000000"/>
        </w:rPr>
      </w:pPr>
      <w:r>
        <w:rPr>
          <w:rFonts w:hint="eastAsia"/>
          <w:color w:val="000000"/>
        </w:rPr>
        <w:t>回转总成吊装采用四点吊，以回转总成顶部4个吊耳板作为吊装孔，采用</w:t>
      </w:r>
      <w:r>
        <w:rPr>
          <w:rFonts w:hint="eastAsia"/>
          <w:color w:val="000000"/>
          <w:lang w:eastAsia="zh-CN"/>
        </w:rPr>
        <w:t>4根32mm6×19S+FC1870Mpa</w:t>
      </w:r>
      <w:r>
        <w:rPr>
          <w:rFonts w:hint="eastAsia"/>
          <w:color w:val="000000"/>
        </w:rPr>
        <w:t>的钢丝绳配套GB/T 25854-6-DW</w:t>
      </w:r>
      <w:r>
        <w:rPr>
          <w:rFonts w:hint="eastAsia"/>
          <w:color w:val="000000"/>
          <w:lang w:val="en-US" w:eastAsia="zh-CN"/>
        </w:rPr>
        <w:t>10</w:t>
      </w:r>
      <w:r>
        <w:rPr>
          <w:rFonts w:hint="eastAsia"/>
          <w:color w:val="000000"/>
        </w:rPr>
        <w:t>卸扣进行起吊。</w:t>
      </w:r>
    </w:p>
    <w:p w14:paraId="4F105E38">
      <w:pPr>
        <w:numPr>
          <w:ilvl w:val="0"/>
          <w:numId w:val="6"/>
        </w:numPr>
        <w:ind w:firstLineChars="0"/>
        <w:rPr>
          <w:color w:val="000000"/>
        </w:rPr>
      </w:pPr>
      <w:r>
        <w:rPr>
          <w:rFonts w:hint="eastAsia"/>
          <w:color w:val="000000"/>
        </w:rPr>
        <w:t>作业人员在地面上先将钢丝绳一端挂在汽车吊吊钩上，另一端与卸扣连接，启动汽车吊，将卸扣缓慢提升至回转总成上方，作业人员通过爬梯爬至回转总成顶部，将安全带系挂在回转总成平台的栏杆上，位于回转总成平台上。汽车吊放松吊钩，作业人员将卸扣与回转总成顶部的4个销轴孔用销轴连接，同时在回转总成上栓好2根溜绳，作业人员解除安全带，通过爬梯爬至</w:t>
      </w:r>
      <w:r>
        <w:rPr>
          <w:rFonts w:hint="eastAsia"/>
          <w:color w:val="000000"/>
          <w:lang w:eastAsia="zh-CN"/>
        </w:rPr>
        <w:t>回转总成</w:t>
      </w:r>
      <w:r>
        <w:rPr>
          <w:rFonts w:hint="eastAsia"/>
          <w:color w:val="000000"/>
        </w:rPr>
        <w:t>顶部，将安全带系挂在</w:t>
      </w:r>
      <w:r>
        <w:rPr>
          <w:rFonts w:hint="eastAsia"/>
          <w:color w:val="000000"/>
          <w:lang w:eastAsia="zh-CN"/>
        </w:rPr>
        <w:t>回转总成</w:t>
      </w:r>
      <w:r>
        <w:rPr>
          <w:rFonts w:hint="eastAsia"/>
          <w:color w:val="000000"/>
        </w:rPr>
        <w:t>顶部横杆上，站立在</w:t>
      </w:r>
      <w:r>
        <w:rPr>
          <w:rFonts w:hint="eastAsia"/>
          <w:color w:val="000000"/>
          <w:lang w:eastAsia="zh-CN"/>
        </w:rPr>
        <w:t>回转总成</w:t>
      </w:r>
      <w:r>
        <w:rPr>
          <w:rFonts w:hint="eastAsia"/>
          <w:color w:val="000000"/>
        </w:rPr>
        <w:t>顶部的平台上，解除回转总成底部下支座与</w:t>
      </w:r>
      <w:r>
        <w:rPr>
          <w:rFonts w:hint="eastAsia"/>
          <w:color w:val="000000"/>
          <w:lang w:eastAsia="zh-CN"/>
        </w:rPr>
        <w:t>回转总成</w:t>
      </w:r>
      <w:r>
        <w:rPr>
          <w:rFonts w:hint="eastAsia"/>
          <w:color w:val="000000"/>
        </w:rPr>
        <w:t>之间的销轴连接，使回转总成与</w:t>
      </w:r>
      <w:r>
        <w:rPr>
          <w:rFonts w:hint="eastAsia"/>
          <w:color w:val="000000"/>
          <w:lang w:eastAsia="zh-CN"/>
        </w:rPr>
        <w:t>回转总成</w:t>
      </w:r>
      <w:r>
        <w:rPr>
          <w:rFonts w:hint="eastAsia"/>
          <w:color w:val="000000"/>
        </w:rPr>
        <w:t>断开。汽车吊起升吊钩，将回转总成提升一定安全高度后，再将回转总成下放至地面，作业人员在地面上解除卸扣与回转总成的连接。</w:t>
      </w:r>
    </w:p>
    <w:p w14:paraId="63206192">
      <w:pPr>
        <w:numPr>
          <w:ilvl w:val="0"/>
          <w:numId w:val="6"/>
        </w:numPr>
        <w:ind w:firstLineChars="0"/>
        <w:rPr>
          <w:color w:val="000000"/>
        </w:rPr>
      </w:pPr>
      <w:r>
        <w:rPr>
          <w:rFonts w:hint="eastAsia"/>
          <w:color w:val="000000"/>
        </w:rPr>
        <w:t>塔式起重机回转总成拆除时设置警戒区，起吊安排专人负责指挥，专人操作，严禁无关人员进入起重作业范围内。</w:t>
      </w:r>
    </w:p>
    <w:p w14:paraId="01008BA5">
      <w:pPr>
        <w:widowControl w:val="0"/>
        <w:spacing w:line="240" w:lineRule="auto"/>
        <w:ind w:firstLine="0" w:firstLineChars="0"/>
        <w:jc w:val="center"/>
      </w:pPr>
      <w:r>
        <w:drawing>
          <wp:inline distT="0" distB="0" distL="114300" distR="114300">
            <wp:extent cx="4254500" cy="3351530"/>
            <wp:effectExtent l="0" t="0" r="12700" b="1270"/>
            <wp:docPr id="8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46"/>
                    <pic:cNvPicPr>
                      <a:picLocks noChangeAspect="1"/>
                    </pic:cNvPicPr>
                  </pic:nvPicPr>
                  <pic:blipFill>
                    <a:blip r:embed="rId58"/>
                    <a:stretch>
                      <a:fillRect/>
                    </a:stretch>
                  </pic:blipFill>
                  <pic:spPr>
                    <a:xfrm>
                      <a:off x="0" y="0"/>
                      <a:ext cx="4254500" cy="3351530"/>
                    </a:xfrm>
                    <a:prstGeom prst="rect">
                      <a:avLst/>
                    </a:prstGeom>
                    <a:noFill/>
                    <a:ln>
                      <a:noFill/>
                    </a:ln>
                  </pic:spPr>
                </pic:pic>
              </a:graphicData>
            </a:graphic>
          </wp:inline>
        </w:drawing>
      </w:r>
    </w:p>
    <w:p w14:paraId="5857E07A">
      <w:pPr>
        <w:widowControl w:val="0"/>
        <w:spacing w:line="240" w:lineRule="auto"/>
        <w:ind w:firstLine="0" w:firstLineChars="0"/>
        <w:jc w:val="center"/>
        <w:rPr>
          <w:rFonts w:hint="default" w:eastAsia="仿宋"/>
          <w:color w:val="000000"/>
          <w:lang w:val="en-US" w:eastAsia="zh-CN"/>
        </w:rPr>
      </w:pPr>
      <w:r>
        <w:drawing>
          <wp:inline distT="0" distB="0" distL="114300" distR="114300">
            <wp:extent cx="3882390" cy="4627245"/>
            <wp:effectExtent l="0" t="0" r="3810" b="1905"/>
            <wp:docPr id="8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48"/>
                    <pic:cNvPicPr>
                      <a:picLocks noChangeAspect="1"/>
                    </pic:cNvPicPr>
                  </pic:nvPicPr>
                  <pic:blipFill>
                    <a:blip r:embed="rId60"/>
                    <a:stretch>
                      <a:fillRect/>
                    </a:stretch>
                  </pic:blipFill>
                  <pic:spPr>
                    <a:xfrm>
                      <a:off x="0" y="0"/>
                      <a:ext cx="3882390" cy="4627245"/>
                    </a:xfrm>
                    <a:prstGeom prst="rect">
                      <a:avLst/>
                    </a:prstGeom>
                    <a:noFill/>
                    <a:ln>
                      <a:noFill/>
                    </a:ln>
                  </pic:spPr>
                </pic:pic>
              </a:graphicData>
            </a:graphic>
          </wp:inline>
        </w:drawing>
      </w:r>
    </w:p>
    <w:p w14:paraId="52FCB82E">
      <w:pPr>
        <w:ind w:firstLine="0" w:firstLineChars="0"/>
        <w:jc w:val="center"/>
        <w:rPr>
          <w:b/>
          <w:color w:val="000000"/>
          <w:sz w:val="21"/>
          <w:szCs w:val="21"/>
        </w:rPr>
      </w:pPr>
      <w:r>
        <w:rPr>
          <w:rFonts w:hint="eastAsia"/>
          <w:b/>
          <w:color w:val="000000"/>
          <w:sz w:val="21"/>
          <w:szCs w:val="21"/>
        </w:rPr>
        <w:t xml:space="preserve">图 </w:t>
      </w:r>
      <w:r>
        <w:rPr>
          <w:rFonts w:hint="eastAsia"/>
          <w:b/>
          <w:color w:val="000000"/>
          <w:sz w:val="21"/>
          <w:szCs w:val="21"/>
        </w:rPr>
        <w:fldChar w:fldCharType="begin"/>
      </w:r>
      <w:r>
        <w:rPr>
          <w:rFonts w:hint="eastAsia"/>
          <w:b/>
          <w:color w:val="000000"/>
          <w:sz w:val="21"/>
          <w:szCs w:val="21"/>
        </w:rPr>
        <w:instrText xml:space="preserve"> STYLEREF 2 \s </w:instrText>
      </w:r>
      <w:r>
        <w:rPr>
          <w:rFonts w:hint="eastAsia"/>
          <w:b/>
          <w:color w:val="000000"/>
          <w:sz w:val="21"/>
          <w:szCs w:val="21"/>
        </w:rPr>
        <w:fldChar w:fldCharType="separate"/>
      </w:r>
      <w:r>
        <w:rPr>
          <w:rFonts w:hint="eastAsia"/>
          <w:b/>
          <w:color w:val="000000"/>
          <w:sz w:val="21"/>
          <w:szCs w:val="21"/>
        </w:rPr>
        <w:t>5.2</w:t>
      </w:r>
      <w:r>
        <w:rPr>
          <w:rFonts w:hint="eastAsia"/>
          <w:b/>
          <w:color w:val="000000"/>
          <w:sz w:val="21"/>
          <w:szCs w:val="21"/>
        </w:rPr>
        <w:fldChar w:fldCharType="end"/>
      </w:r>
      <w:r>
        <w:rPr>
          <w:rFonts w:hint="eastAsia"/>
          <w:b/>
          <w:color w:val="000000"/>
          <w:sz w:val="21"/>
          <w:szCs w:val="21"/>
        </w:rPr>
        <w:t>-</w:t>
      </w:r>
      <w:r>
        <w:rPr>
          <w:rFonts w:hint="eastAsia"/>
          <w:b/>
          <w:color w:val="000000"/>
          <w:sz w:val="21"/>
          <w:szCs w:val="21"/>
        </w:rPr>
        <w:fldChar w:fldCharType="begin"/>
      </w:r>
      <w:r>
        <w:rPr>
          <w:rFonts w:hint="eastAsia"/>
          <w:b/>
          <w:color w:val="000000"/>
          <w:sz w:val="21"/>
          <w:szCs w:val="21"/>
        </w:rPr>
        <w:instrText xml:space="preserve"> SEQ 图 \* ARABIC \s 2 </w:instrText>
      </w:r>
      <w:r>
        <w:rPr>
          <w:rFonts w:hint="eastAsia"/>
          <w:b/>
          <w:color w:val="000000"/>
          <w:sz w:val="21"/>
          <w:szCs w:val="21"/>
        </w:rPr>
        <w:fldChar w:fldCharType="separate"/>
      </w:r>
      <w:r>
        <w:rPr>
          <w:rFonts w:hint="eastAsia"/>
          <w:b/>
          <w:color w:val="000000"/>
          <w:sz w:val="21"/>
          <w:szCs w:val="21"/>
        </w:rPr>
        <w:t>22</w:t>
      </w:r>
      <w:r>
        <w:rPr>
          <w:rFonts w:hint="eastAsia"/>
          <w:b/>
          <w:color w:val="000000"/>
          <w:sz w:val="21"/>
          <w:szCs w:val="21"/>
        </w:rPr>
        <w:fldChar w:fldCharType="end"/>
      </w:r>
      <w:r>
        <w:rPr>
          <w:rFonts w:hint="eastAsia"/>
          <w:b/>
          <w:color w:val="000000"/>
          <w:sz w:val="21"/>
          <w:szCs w:val="21"/>
          <w:lang w:val="en-US" w:eastAsia="zh-CN"/>
        </w:rPr>
        <w:t xml:space="preserve">  </w:t>
      </w:r>
      <w:r>
        <w:rPr>
          <w:rFonts w:hint="eastAsia"/>
          <w:b/>
          <w:color w:val="000000"/>
          <w:sz w:val="21"/>
          <w:szCs w:val="21"/>
        </w:rPr>
        <w:t>回转总成拆除示意图</w:t>
      </w:r>
    </w:p>
    <w:bookmarkEnd w:id="60"/>
    <w:p w14:paraId="461C706E">
      <w:pPr>
        <w:pStyle w:val="4"/>
        <w:rPr>
          <w:color w:val="000000"/>
        </w:rPr>
      </w:pPr>
      <w:bookmarkStart w:id="61" w:name="_Toc21876"/>
      <w:r>
        <w:rPr>
          <w:rFonts w:hint="eastAsia"/>
          <w:color w:val="000000"/>
        </w:rPr>
        <w:t>拆除</w:t>
      </w:r>
      <w:r>
        <w:rPr>
          <w:rFonts w:hint="eastAsia"/>
          <w:color w:val="000000"/>
          <w:lang w:val="en-US" w:eastAsia="zh-CN"/>
        </w:rPr>
        <w:t>标准节</w:t>
      </w:r>
    </w:p>
    <w:p w14:paraId="5F46DF2F">
      <w:pPr>
        <w:numPr>
          <w:ilvl w:val="0"/>
          <w:numId w:val="7"/>
        </w:numPr>
        <w:ind w:firstLineChars="0"/>
        <w:rPr>
          <w:color w:val="000000"/>
        </w:rPr>
      </w:pPr>
      <w:r>
        <w:rPr>
          <w:rFonts w:hint="eastAsia"/>
          <w:color w:val="000000"/>
          <w:lang w:eastAsia="zh-CN"/>
        </w:rPr>
        <w:t>100t</w:t>
      </w:r>
      <w:r>
        <w:rPr>
          <w:rFonts w:hint="eastAsia"/>
          <w:color w:val="000000"/>
        </w:rPr>
        <w:t>汽车吊位置不变，主臂长</w:t>
      </w:r>
      <w:r>
        <w:rPr>
          <w:rFonts w:hint="eastAsia"/>
          <w:color w:val="000000"/>
          <w:lang w:val="en-US" w:eastAsia="zh-CN"/>
        </w:rPr>
        <w:t>43.5</w:t>
      </w:r>
      <w:r>
        <w:rPr>
          <w:rFonts w:hint="eastAsia"/>
          <w:color w:val="000000"/>
        </w:rPr>
        <w:t>m，</w:t>
      </w:r>
      <w:r>
        <w:rPr>
          <w:rFonts w:hint="eastAsia"/>
          <w:color w:val="000000"/>
          <w:lang w:val="en-US" w:eastAsia="zh-CN"/>
        </w:rPr>
        <w:t>吊幅12</w:t>
      </w:r>
      <w:r>
        <w:rPr>
          <w:rFonts w:hint="eastAsia"/>
          <w:color w:val="000000"/>
        </w:rPr>
        <w:t>m，额定起重量为</w:t>
      </w:r>
      <w:r>
        <w:rPr>
          <w:rFonts w:hint="eastAsia"/>
          <w:color w:val="000000"/>
          <w:lang w:val="en-US" w:eastAsia="zh-CN"/>
        </w:rPr>
        <w:t>23</w:t>
      </w:r>
      <w:r>
        <w:rPr>
          <w:rFonts w:hint="eastAsia"/>
          <w:color w:val="000000"/>
          <w:lang w:eastAsia="zh-CN"/>
        </w:rPr>
        <w:t>t</w:t>
      </w:r>
      <w:r>
        <w:rPr>
          <w:rFonts w:hint="eastAsia"/>
          <w:color w:val="000000"/>
        </w:rPr>
        <w:t>＞</w:t>
      </w:r>
      <w:r>
        <w:rPr>
          <w:rFonts w:hint="eastAsia"/>
          <w:color w:val="000000"/>
          <w:lang w:val="en-US" w:eastAsia="zh-CN"/>
        </w:rPr>
        <w:t>5.95</w:t>
      </w:r>
      <w:r>
        <w:rPr>
          <w:rFonts w:hint="eastAsia"/>
          <w:color w:val="000000"/>
        </w:rPr>
        <w:t>t，满足拆除吊装要求。</w:t>
      </w:r>
    </w:p>
    <w:p w14:paraId="140C1807">
      <w:pPr>
        <w:numPr>
          <w:ilvl w:val="0"/>
          <w:numId w:val="7"/>
        </w:numPr>
        <w:ind w:firstLineChars="0"/>
        <w:rPr>
          <w:rFonts w:hint="default"/>
          <w:color w:val="000000"/>
          <w:lang w:val="en-US" w:eastAsia="zh-CN"/>
        </w:rPr>
      </w:pPr>
      <w:r>
        <w:rPr>
          <w:rFonts w:hint="eastAsia"/>
          <w:color w:val="000000"/>
          <w:lang w:val="en-US" w:eastAsia="zh-CN"/>
        </w:rPr>
        <w:t>标准节吊装采用四点吊，以标准节顶部4个吊耳板作为吊装孔，采用4根32mm6×19S+FC1870Mpa的钢丝绳配套GB/T 25854-6-DW10卸扣进行起吊。</w:t>
      </w:r>
    </w:p>
    <w:p w14:paraId="641B7E54">
      <w:pPr>
        <w:numPr>
          <w:ilvl w:val="0"/>
          <w:numId w:val="7"/>
        </w:numPr>
        <w:ind w:firstLineChars="0"/>
        <w:rPr>
          <w:rFonts w:hint="eastAsia"/>
          <w:color w:val="000000"/>
          <w:lang w:val="en-US" w:eastAsia="zh-CN"/>
        </w:rPr>
      </w:pPr>
      <w:r>
        <w:rPr>
          <w:rFonts w:hint="eastAsia"/>
          <w:color w:val="000000"/>
          <w:lang w:val="en-US" w:eastAsia="zh-CN"/>
        </w:rPr>
        <w:t>作业人员在地面上先将钢丝绳一端挂在吊机吊钩上，另一端与卸扣连接，启动吊机，将卸扣缓慢提升至标准节上方，作业人员通过爬梯爬至标准节顶部平台上，将安全带系挂在标准节顶部平台的栏杆上，位于标准节顶部的平台上。吊机放松吊钩，作业人员将卸扣与标准节连接，同时在标准节杆件上栓好2根溜绳，作业人员解除安全带，作业人员通过爬梯爬至爬升架平台上，将安全带系挂在爬升架平台栏杆上，伸长顶升油缸，将顶升横梁轴销落入踏步的圆弧槽内，拆掉标准节与爬升架和塔身的连接销轴，回缩顶升油缸，将爬升架的爬爪支承在塔身上，吊机起升吊钩，将标准节提升一定安全高度后，再将标准节下放至地面，作业人员在地面上解除卸扣与标准节的连接。</w:t>
      </w:r>
    </w:p>
    <w:p w14:paraId="4EE578A3">
      <w:pPr>
        <w:numPr>
          <w:ilvl w:val="0"/>
          <w:numId w:val="7"/>
        </w:numPr>
        <w:ind w:firstLineChars="0"/>
        <w:rPr>
          <w:rFonts w:hint="eastAsia"/>
          <w:color w:val="000000"/>
          <w:lang w:eastAsia="zh-CN"/>
        </w:rPr>
      </w:pPr>
      <w:r>
        <w:rPr>
          <w:rFonts w:hint="eastAsia"/>
          <w:color w:val="000000"/>
          <w:lang w:val="en-US" w:eastAsia="zh-CN"/>
        </w:rPr>
        <w:t>标准节拆除时设置警戒区，起吊安排专人负责指挥，专人操作，严禁无关人员进入起重作业范围内。</w:t>
      </w:r>
    </w:p>
    <w:p w14:paraId="6038C5F1">
      <w:pPr>
        <w:widowControl w:val="0"/>
        <w:spacing w:line="240" w:lineRule="auto"/>
        <w:ind w:firstLine="0" w:firstLineChars="0"/>
        <w:jc w:val="center"/>
      </w:pPr>
      <w:r>
        <w:drawing>
          <wp:inline distT="0" distB="0" distL="114300" distR="114300">
            <wp:extent cx="3969385" cy="3127375"/>
            <wp:effectExtent l="0" t="0" r="12065" b="15875"/>
            <wp:docPr id="9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47"/>
                    <pic:cNvPicPr>
                      <a:picLocks noChangeAspect="1"/>
                    </pic:cNvPicPr>
                  </pic:nvPicPr>
                  <pic:blipFill>
                    <a:blip r:embed="rId58"/>
                    <a:stretch>
                      <a:fillRect/>
                    </a:stretch>
                  </pic:blipFill>
                  <pic:spPr>
                    <a:xfrm>
                      <a:off x="0" y="0"/>
                      <a:ext cx="3969385" cy="3127375"/>
                    </a:xfrm>
                    <a:prstGeom prst="rect">
                      <a:avLst/>
                    </a:prstGeom>
                    <a:noFill/>
                    <a:ln>
                      <a:noFill/>
                    </a:ln>
                  </pic:spPr>
                </pic:pic>
              </a:graphicData>
            </a:graphic>
          </wp:inline>
        </w:drawing>
      </w:r>
    </w:p>
    <w:p w14:paraId="45C40FA0">
      <w:pPr>
        <w:widowControl w:val="0"/>
        <w:spacing w:line="240" w:lineRule="auto"/>
        <w:ind w:firstLine="0" w:firstLineChars="0"/>
        <w:jc w:val="center"/>
      </w:pPr>
      <w:r>
        <w:drawing>
          <wp:inline distT="0" distB="0" distL="114300" distR="114300">
            <wp:extent cx="4074795" cy="4183380"/>
            <wp:effectExtent l="0" t="0" r="1905" b="7620"/>
            <wp:docPr id="9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9"/>
                    <pic:cNvPicPr>
                      <a:picLocks noChangeAspect="1"/>
                    </pic:cNvPicPr>
                  </pic:nvPicPr>
                  <pic:blipFill>
                    <a:blip r:embed="rId61"/>
                    <a:stretch>
                      <a:fillRect/>
                    </a:stretch>
                  </pic:blipFill>
                  <pic:spPr>
                    <a:xfrm>
                      <a:off x="0" y="0"/>
                      <a:ext cx="4074795" cy="4183380"/>
                    </a:xfrm>
                    <a:prstGeom prst="rect">
                      <a:avLst/>
                    </a:prstGeom>
                    <a:noFill/>
                    <a:ln>
                      <a:noFill/>
                    </a:ln>
                  </pic:spPr>
                </pic:pic>
              </a:graphicData>
            </a:graphic>
          </wp:inline>
        </w:drawing>
      </w:r>
    </w:p>
    <w:p w14:paraId="094E9B78">
      <w:pPr>
        <w:widowControl w:val="0"/>
        <w:spacing w:line="240" w:lineRule="auto"/>
        <w:ind w:firstLine="0" w:firstLineChars="0"/>
        <w:jc w:val="center"/>
      </w:pPr>
      <w:r>
        <w:rPr>
          <w:rFonts w:hint="eastAsia"/>
          <w:b/>
          <w:color w:val="000000"/>
          <w:sz w:val="21"/>
          <w:szCs w:val="21"/>
        </w:rPr>
        <w:t xml:space="preserve">图 </w:t>
      </w:r>
      <w:r>
        <w:rPr>
          <w:rFonts w:hint="eastAsia"/>
          <w:b/>
          <w:color w:val="000000"/>
          <w:sz w:val="21"/>
          <w:szCs w:val="21"/>
        </w:rPr>
        <w:fldChar w:fldCharType="begin"/>
      </w:r>
      <w:r>
        <w:rPr>
          <w:rFonts w:hint="eastAsia"/>
          <w:b/>
          <w:color w:val="000000"/>
          <w:sz w:val="21"/>
          <w:szCs w:val="21"/>
        </w:rPr>
        <w:instrText xml:space="preserve"> STYLEREF 2 \s </w:instrText>
      </w:r>
      <w:r>
        <w:rPr>
          <w:rFonts w:hint="eastAsia"/>
          <w:b/>
          <w:color w:val="000000"/>
          <w:sz w:val="21"/>
          <w:szCs w:val="21"/>
        </w:rPr>
        <w:fldChar w:fldCharType="separate"/>
      </w:r>
      <w:r>
        <w:rPr>
          <w:rFonts w:hint="eastAsia"/>
          <w:b/>
          <w:color w:val="000000"/>
          <w:sz w:val="21"/>
          <w:szCs w:val="21"/>
        </w:rPr>
        <w:t>5.2</w:t>
      </w:r>
      <w:r>
        <w:rPr>
          <w:rFonts w:hint="eastAsia"/>
          <w:b/>
          <w:color w:val="000000"/>
          <w:sz w:val="21"/>
          <w:szCs w:val="21"/>
        </w:rPr>
        <w:fldChar w:fldCharType="end"/>
      </w:r>
      <w:r>
        <w:rPr>
          <w:rFonts w:hint="eastAsia"/>
          <w:b/>
          <w:color w:val="000000"/>
          <w:sz w:val="21"/>
          <w:szCs w:val="21"/>
        </w:rPr>
        <w:t>-</w:t>
      </w:r>
      <w:r>
        <w:rPr>
          <w:rFonts w:hint="eastAsia"/>
          <w:b/>
          <w:color w:val="000000"/>
          <w:sz w:val="21"/>
          <w:szCs w:val="21"/>
        </w:rPr>
        <w:fldChar w:fldCharType="begin"/>
      </w:r>
      <w:r>
        <w:rPr>
          <w:rFonts w:hint="eastAsia"/>
          <w:b/>
          <w:color w:val="000000"/>
          <w:sz w:val="21"/>
          <w:szCs w:val="21"/>
        </w:rPr>
        <w:instrText xml:space="preserve"> SEQ 图 \* ARABIC \s 2 </w:instrText>
      </w:r>
      <w:r>
        <w:rPr>
          <w:rFonts w:hint="eastAsia"/>
          <w:b/>
          <w:color w:val="000000"/>
          <w:sz w:val="21"/>
          <w:szCs w:val="21"/>
        </w:rPr>
        <w:fldChar w:fldCharType="separate"/>
      </w:r>
      <w:r>
        <w:rPr>
          <w:rFonts w:hint="eastAsia"/>
          <w:b/>
          <w:color w:val="000000"/>
          <w:sz w:val="21"/>
          <w:szCs w:val="21"/>
        </w:rPr>
        <w:t>23</w:t>
      </w:r>
      <w:r>
        <w:rPr>
          <w:rFonts w:hint="eastAsia"/>
          <w:b/>
          <w:color w:val="000000"/>
          <w:sz w:val="21"/>
          <w:szCs w:val="21"/>
        </w:rPr>
        <w:fldChar w:fldCharType="end"/>
      </w:r>
      <w:r>
        <w:rPr>
          <w:rFonts w:hint="eastAsia"/>
          <w:b/>
          <w:color w:val="000000"/>
          <w:sz w:val="21"/>
          <w:szCs w:val="21"/>
          <w:lang w:val="en-US" w:eastAsia="zh-CN"/>
        </w:rPr>
        <w:t xml:space="preserve"> 标准节</w:t>
      </w:r>
      <w:r>
        <w:rPr>
          <w:rFonts w:hint="eastAsia"/>
          <w:b/>
          <w:color w:val="000000"/>
          <w:sz w:val="21"/>
          <w:szCs w:val="21"/>
        </w:rPr>
        <w:t>拆除示意图</w:t>
      </w:r>
    </w:p>
    <w:p w14:paraId="3A71D311">
      <w:pPr>
        <w:pStyle w:val="4"/>
        <w:rPr>
          <w:color w:val="000000"/>
        </w:rPr>
      </w:pPr>
      <w:r>
        <w:rPr>
          <w:rFonts w:hint="eastAsia"/>
          <w:color w:val="000000"/>
        </w:rPr>
        <w:t>拆除爬升架与剩余塔身</w:t>
      </w:r>
      <w:bookmarkEnd w:id="61"/>
    </w:p>
    <w:p w14:paraId="38A7777B">
      <w:pPr>
        <w:numPr>
          <w:ilvl w:val="0"/>
          <w:numId w:val="8"/>
        </w:numPr>
        <w:ind w:firstLineChars="0"/>
        <w:rPr>
          <w:color w:val="000000"/>
        </w:rPr>
      </w:pPr>
      <w:r>
        <w:rPr>
          <w:rFonts w:hint="eastAsia"/>
          <w:color w:val="000000"/>
          <w:lang w:val="en-US" w:eastAsia="zh-CN"/>
        </w:rPr>
        <w:t>加强节重量为6.325t，爬升架重量为15.62t。</w:t>
      </w:r>
      <w:r>
        <w:rPr>
          <w:rFonts w:hint="eastAsia"/>
          <w:color w:val="000000"/>
          <w:lang w:eastAsia="zh-CN"/>
        </w:rPr>
        <w:t>100t</w:t>
      </w:r>
      <w:r>
        <w:rPr>
          <w:rFonts w:hint="eastAsia"/>
          <w:color w:val="000000"/>
        </w:rPr>
        <w:t>汽车吊位置不变，主臂长</w:t>
      </w:r>
      <w:r>
        <w:rPr>
          <w:rFonts w:hint="eastAsia"/>
          <w:color w:val="000000"/>
          <w:lang w:val="en-US" w:eastAsia="zh-CN"/>
        </w:rPr>
        <w:t>43.5</w:t>
      </w:r>
      <w:r>
        <w:rPr>
          <w:rFonts w:hint="eastAsia"/>
          <w:color w:val="000000"/>
        </w:rPr>
        <w:t>m，</w:t>
      </w:r>
      <w:r>
        <w:rPr>
          <w:rFonts w:hint="eastAsia"/>
          <w:color w:val="000000"/>
          <w:lang w:val="en-US" w:eastAsia="zh-CN"/>
        </w:rPr>
        <w:t>吊幅12</w:t>
      </w:r>
      <w:r>
        <w:rPr>
          <w:rFonts w:hint="eastAsia"/>
          <w:color w:val="000000"/>
        </w:rPr>
        <w:t>m，额定起重量为</w:t>
      </w:r>
      <w:r>
        <w:rPr>
          <w:rFonts w:hint="eastAsia"/>
          <w:color w:val="000000"/>
          <w:lang w:val="en-US" w:eastAsia="zh-CN"/>
        </w:rPr>
        <w:t>23</w:t>
      </w:r>
      <w:r>
        <w:rPr>
          <w:rFonts w:hint="eastAsia"/>
          <w:color w:val="000000"/>
          <w:lang w:eastAsia="zh-CN"/>
        </w:rPr>
        <w:t>t</w:t>
      </w:r>
      <w:r>
        <w:rPr>
          <w:rFonts w:hint="eastAsia"/>
          <w:color w:val="000000"/>
        </w:rPr>
        <w:t>＞</w:t>
      </w:r>
      <w:r>
        <w:rPr>
          <w:rFonts w:hint="eastAsia"/>
          <w:color w:val="000000"/>
          <w:lang w:val="en-US" w:eastAsia="zh-CN"/>
        </w:rPr>
        <w:t>15.62</w:t>
      </w:r>
      <w:r>
        <w:rPr>
          <w:rFonts w:hint="eastAsia"/>
          <w:color w:val="000000"/>
        </w:rPr>
        <w:t>t，满足拆除吊装要求。</w:t>
      </w:r>
    </w:p>
    <w:p w14:paraId="5D8D7875">
      <w:pPr>
        <w:numPr>
          <w:ilvl w:val="0"/>
          <w:numId w:val="8"/>
        </w:numPr>
        <w:ind w:firstLineChars="0"/>
        <w:rPr>
          <w:color w:val="000000"/>
        </w:rPr>
      </w:pPr>
      <w:r>
        <w:rPr>
          <w:rFonts w:hint="eastAsia"/>
          <w:color w:val="000000"/>
        </w:rPr>
        <w:t>爬升架吊装采用四点吊，以爬升架顶部4个吊耳板作为吊装孔，采用</w:t>
      </w:r>
      <w:r>
        <w:rPr>
          <w:rFonts w:hint="eastAsia"/>
          <w:color w:val="000000"/>
          <w:lang w:eastAsia="zh-CN"/>
        </w:rPr>
        <w:t>4根32mm6×19S+FC1870Mpa</w:t>
      </w:r>
      <w:r>
        <w:rPr>
          <w:rFonts w:hint="eastAsia"/>
          <w:color w:val="000000"/>
        </w:rPr>
        <w:t>的钢丝绳配套GB/T 25854-6-DW</w:t>
      </w:r>
      <w:r>
        <w:rPr>
          <w:rFonts w:hint="eastAsia"/>
          <w:color w:val="000000"/>
          <w:lang w:val="en-US" w:eastAsia="zh-CN"/>
        </w:rPr>
        <w:t>10</w:t>
      </w:r>
      <w:r>
        <w:rPr>
          <w:rFonts w:hint="eastAsia"/>
          <w:color w:val="000000"/>
        </w:rPr>
        <w:t>卸扣进行起吊。</w:t>
      </w:r>
    </w:p>
    <w:p w14:paraId="027227D5">
      <w:pPr>
        <w:numPr>
          <w:ilvl w:val="0"/>
          <w:numId w:val="8"/>
        </w:numPr>
        <w:ind w:firstLineChars="0"/>
        <w:rPr>
          <w:color w:val="000000"/>
        </w:rPr>
      </w:pPr>
      <w:r>
        <w:rPr>
          <w:rFonts w:hint="eastAsia"/>
          <w:color w:val="000000"/>
        </w:rPr>
        <w:t>作业人员在地面上先将钢丝绳一端挂在汽车吊吊钩上，另一端与卸扣连接，启动汽车吊，将卸扣缓慢提升至爬升架上方，作业人员通过爬梯爬至爬升架顶部，将安全带系挂在爬升架顶部平台的栏杆上，位于爬升架顶部的平台上。汽车吊放松吊钩，作业人员将卸扣与爬升架连接，同时在爬升架杆件上栓好2根溜绳，作业人员解除安全带，作业人员通过爬梯爬至</w:t>
      </w:r>
      <w:r>
        <w:rPr>
          <w:rFonts w:hint="eastAsia"/>
          <w:color w:val="000000"/>
          <w:lang w:val="en-US" w:eastAsia="zh-CN"/>
        </w:rPr>
        <w:t>加强节</w:t>
      </w:r>
      <w:r>
        <w:rPr>
          <w:rFonts w:hint="eastAsia"/>
          <w:color w:val="000000"/>
        </w:rPr>
        <w:t>对应的爬升架爬爪处，将安全带系挂在</w:t>
      </w:r>
      <w:r>
        <w:rPr>
          <w:rFonts w:hint="eastAsia"/>
          <w:color w:val="000000"/>
          <w:lang w:val="en-US" w:eastAsia="zh-CN"/>
        </w:rPr>
        <w:t>加强节</w:t>
      </w:r>
      <w:r>
        <w:rPr>
          <w:rFonts w:hint="eastAsia"/>
          <w:color w:val="000000"/>
        </w:rPr>
        <w:t>横杆上，解除爬升架与</w:t>
      </w:r>
      <w:r>
        <w:rPr>
          <w:rFonts w:hint="eastAsia"/>
          <w:color w:val="000000"/>
          <w:lang w:val="en-US" w:eastAsia="zh-CN"/>
        </w:rPr>
        <w:t>加强节</w:t>
      </w:r>
      <w:r>
        <w:rPr>
          <w:rFonts w:hint="eastAsia"/>
          <w:color w:val="000000"/>
        </w:rPr>
        <w:t>之间的约束。汽车吊起升吊钩，将爬升架提升一定安全高度后，再将爬升架下放至地面，作业人员在地面上解除卸扣与爬升架的连接。</w:t>
      </w:r>
    </w:p>
    <w:p w14:paraId="1ACFFE03">
      <w:pPr>
        <w:numPr>
          <w:ilvl w:val="0"/>
          <w:numId w:val="8"/>
        </w:numPr>
        <w:ind w:firstLineChars="0"/>
        <w:rPr>
          <w:color w:val="000000"/>
        </w:rPr>
      </w:pPr>
      <w:r>
        <w:rPr>
          <w:rFonts w:hint="eastAsia"/>
          <w:color w:val="000000"/>
        </w:rPr>
        <w:t>以同样的方法拆除</w:t>
      </w:r>
      <w:r>
        <w:rPr>
          <w:rFonts w:hint="eastAsia"/>
          <w:color w:val="000000"/>
          <w:lang w:eastAsia="zh-CN"/>
        </w:rPr>
        <w:t>加强节</w:t>
      </w:r>
      <w:r>
        <w:rPr>
          <w:rFonts w:hint="eastAsia"/>
          <w:color w:val="000000"/>
        </w:rPr>
        <w:t>。</w:t>
      </w:r>
    </w:p>
    <w:p w14:paraId="6315AC45">
      <w:pPr>
        <w:numPr>
          <w:ilvl w:val="0"/>
          <w:numId w:val="8"/>
        </w:numPr>
        <w:ind w:firstLineChars="0"/>
        <w:rPr>
          <w:color w:val="000000"/>
        </w:rPr>
      </w:pPr>
      <w:r>
        <w:rPr>
          <w:rFonts w:hint="eastAsia"/>
          <w:color w:val="000000"/>
        </w:rPr>
        <w:t>塔式起重机拆除时设置警戒区，起吊安排专人负责指挥，专人操作，严禁无关人员进入起重作业范围内。</w:t>
      </w:r>
    </w:p>
    <w:p w14:paraId="009816E2">
      <w:pPr>
        <w:widowControl w:val="0"/>
        <w:spacing w:line="240" w:lineRule="auto"/>
        <w:ind w:firstLine="0" w:firstLineChars="0"/>
        <w:jc w:val="center"/>
        <w:rPr>
          <w:rFonts w:hint="default" w:eastAsia="仿宋"/>
          <w:color w:val="000000"/>
          <w:lang w:val="en-US" w:eastAsia="zh-CN"/>
        </w:rPr>
      </w:pPr>
      <w:r>
        <w:drawing>
          <wp:inline distT="0" distB="0" distL="114300" distR="114300">
            <wp:extent cx="5937250" cy="4677410"/>
            <wp:effectExtent l="0" t="0" r="6350" b="8890"/>
            <wp:docPr id="8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7"/>
                    <pic:cNvPicPr>
                      <a:picLocks noChangeAspect="1"/>
                    </pic:cNvPicPr>
                  </pic:nvPicPr>
                  <pic:blipFill>
                    <a:blip r:embed="rId58"/>
                    <a:stretch>
                      <a:fillRect/>
                    </a:stretch>
                  </pic:blipFill>
                  <pic:spPr>
                    <a:xfrm>
                      <a:off x="0" y="0"/>
                      <a:ext cx="5937250" cy="4677410"/>
                    </a:xfrm>
                    <a:prstGeom prst="rect">
                      <a:avLst/>
                    </a:prstGeom>
                    <a:noFill/>
                    <a:ln>
                      <a:noFill/>
                    </a:ln>
                  </pic:spPr>
                </pic:pic>
              </a:graphicData>
            </a:graphic>
          </wp:inline>
        </w:drawing>
      </w:r>
      <w:r>
        <w:drawing>
          <wp:inline distT="0" distB="0" distL="114300" distR="114300">
            <wp:extent cx="4041140" cy="4323080"/>
            <wp:effectExtent l="0" t="0" r="16510" b="1270"/>
            <wp:docPr id="88"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50"/>
                    <pic:cNvPicPr>
                      <a:picLocks noChangeAspect="1"/>
                    </pic:cNvPicPr>
                  </pic:nvPicPr>
                  <pic:blipFill>
                    <a:blip r:embed="rId62"/>
                    <a:stretch>
                      <a:fillRect/>
                    </a:stretch>
                  </pic:blipFill>
                  <pic:spPr>
                    <a:xfrm>
                      <a:off x="0" y="0"/>
                      <a:ext cx="4041140" cy="4323080"/>
                    </a:xfrm>
                    <a:prstGeom prst="rect">
                      <a:avLst/>
                    </a:prstGeom>
                    <a:noFill/>
                    <a:ln>
                      <a:noFill/>
                    </a:ln>
                  </pic:spPr>
                </pic:pic>
              </a:graphicData>
            </a:graphic>
          </wp:inline>
        </w:drawing>
      </w:r>
      <w:r>
        <w:drawing>
          <wp:inline distT="0" distB="0" distL="114300" distR="114300">
            <wp:extent cx="4011930" cy="4490085"/>
            <wp:effectExtent l="0" t="0" r="7620" b="5715"/>
            <wp:docPr id="89"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51"/>
                    <pic:cNvPicPr>
                      <a:picLocks noChangeAspect="1"/>
                    </pic:cNvPicPr>
                  </pic:nvPicPr>
                  <pic:blipFill>
                    <a:blip r:embed="rId63"/>
                    <a:stretch>
                      <a:fillRect/>
                    </a:stretch>
                  </pic:blipFill>
                  <pic:spPr>
                    <a:xfrm>
                      <a:off x="0" y="0"/>
                      <a:ext cx="4011930" cy="4490085"/>
                    </a:xfrm>
                    <a:prstGeom prst="rect">
                      <a:avLst/>
                    </a:prstGeom>
                    <a:noFill/>
                    <a:ln>
                      <a:noFill/>
                    </a:ln>
                  </pic:spPr>
                </pic:pic>
              </a:graphicData>
            </a:graphic>
          </wp:inline>
        </w:drawing>
      </w:r>
      <w:r>
        <w:drawing>
          <wp:inline distT="0" distB="0" distL="114300" distR="114300">
            <wp:extent cx="3065145" cy="4040505"/>
            <wp:effectExtent l="0" t="0" r="1905" b="17145"/>
            <wp:docPr id="9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52"/>
                    <pic:cNvPicPr>
                      <a:picLocks noChangeAspect="1"/>
                    </pic:cNvPicPr>
                  </pic:nvPicPr>
                  <pic:blipFill>
                    <a:blip r:embed="rId64"/>
                    <a:stretch>
                      <a:fillRect/>
                    </a:stretch>
                  </pic:blipFill>
                  <pic:spPr>
                    <a:xfrm>
                      <a:off x="0" y="0"/>
                      <a:ext cx="3065145" cy="4040505"/>
                    </a:xfrm>
                    <a:prstGeom prst="rect">
                      <a:avLst/>
                    </a:prstGeom>
                    <a:noFill/>
                    <a:ln>
                      <a:noFill/>
                    </a:ln>
                  </pic:spPr>
                </pic:pic>
              </a:graphicData>
            </a:graphic>
          </wp:inline>
        </w:drawing>
      </w:r>
    </w:p>
    <w:p w14:paraId="2E8E9B4F">
      <w:pPr>
        <w:ind w:firstLine="0" w:firstLineChars="0"/>
        <w:jc w:val="center"/>
        <w:rPr>
          <w:b/>
          <w:color w:val="000000"/>
          <w:sz w:val="21"/>
          <w:szCs w:val="21"/>
        </w:rPr>
      </w:pPr>
      <w:r>
        <w:rPr>
          <w:rFonts w:hint="eastAsia"/>
          <w:b/>
          <w:color w:val="000000"/>
          <w:sz w:val="21"/>
          <w:szCs w:val="21"/>
        </w:rPr>
        <w:t xml:space="preserve">图 </w:t>
      </w:r>
      <w:r>
        <w:rPr>
          <w:rFonts w:hint="eastAsia"/>
          <w:b/>
          <w:color w:val="000000"/>
          <w:sz w:val="21"/>
          <w:szCs w:val="21"/>
        </w:rPr>
        <w:fldChar w:fldCharType="begin"/>
      </w:r>
      <w:r>
        <w:rPr>
          <w:rFonts w:hint="eastAsia"/>
          <w:b/>
          <w:color w:val="000000"/>
          <w:sz w:val="21"/>
          <w:szCs w:val="21"/>
        </w:rPr>
        <w:instrText xml:space="preserve"> STYLEREF 2 \s </w:instrText>
      </w:r>
      <w:r>
        <w:rPr>
          <w:rFonts w:hint="eastAsia"/>
          <w:b/>
          <w:color w:val="000000"/>
          <w:sz w:val="21"/>
          <w:szCs w:val="21"/>
        </w:rPr>
        <w:fldChar w:fldCharType="separate"/>
      </w:r>
      <w:r>
        <w:rPr>
          <w:rFonts w:hint="eastAsia"/>
          <w:b/>
          <w:color w:val="000000"/>
          <w:sz w:val="21"/>
          <w:szCs w:val="21"/>
        </w:rPr>
        <w:t>5.2</w:t>
      </w:r>
      <w:r>
        <w:rPr>
          <w:rFonts w:hint="eastAsia"/>
          <w:b/>
          <w:color w:val="000000"/>
          <w:sz w:val="21"/>
          <w:szCs w:val="21"/>
        </w:rPr>
        <w:fldChar w:fldCharType="end"/>
      </w:r>
      <w:r>
        <w:rPr>
          <w:rFonts w:hint="eastAsia"/>
          <w:b/>
          <w:color w:val="000000"/>
          <w:sz w:val="21"/>
          <w:szCs w:val="21"/>
        </w:rPr>
        <w:t>-</w:t>
      </w:r>
      <w:r>
        <w:rPr>
          <w:rFonts w:hint="eastAsia"/>
          <w:b/>
          <w:color w:val="000000"/>
          <w:sz w:val="21"/>
          <w:szCs w:val="21"/>
        </w:rPr>
        <w:fldChar w:fldCharType="begin"/>
      </w:r>
      <w:r>
        <w:rPr>
          <w:rFonts w:hint="eastAsia"/>
          <w:b/>
          <w:color w:val="000000"/>
          <w:sz w:val="21"/>
          <w:szCs w:val="21"/>
        </w:rPr>
        <w:instrText xml:space="preserve"> SEQ 图 \* ARABIC \s 2 </w:instrText>
      </w:r>
      <w:r>
        <w:rPr>
          <w:rFonts w:hint="eastAsia"/>
          <w:b/>
          <w:color w:val="000000"/>
          <w:sz w:val="21"/>
          <w:szCs w:val="21"/>
        </w:rPr>
        <w:fldChar w:fldCharType="separate"/>
      </w:r>
      <w:r>
        <w:rPr>
          <w:rFonts w:hint="eastAsia"/>
          <w:b/>
          <w:color w:val="000000"/>
          <w:sz w:val="21"/>
          <w:szCs w:val="21"/>
        </w:rPr>
        <w:t>24</w:t>
      </w:r>
      <w:r>
        <w:rPr>
          <w:rFonts w:hint="eastAsia"/>
          <w:b/>
          <w:color w:val="000000"/>
          <w:sz w:val="21"/>
          <w:szCs w:val="21"/>
        </w:rPr>
        <w:fldChar w:fldCharType="end"/>
      </w:r>
      <w:r>
        <w:rPr>
          <w:rFonts w:hint="eastAsia"/>
          <w:b/>
          <w:color w:val="000000"/>
          <w:sz w:val="21"/>
          <w:szCs w:val="21"/>
          <w:lang w:val="en-US" w:eastAsia="zh-CN"/>
        </w:rPr>
        <w:t xml:space="preserve"> </w:t>
      </w:r>
      <w:r>
        <w:rPr>
          <w:rFonts w:hint="eastAsia"/>
          <w:b/>
          <w:color w:val="000000"/>
          <w:sz w:val="21"/>
          <w:szCs w:val="21"/>
        </w:rPr>
        <w:t>爬升架</w:t>
      </w:r>
      <w:r>
        <w:rPr>
          <w:rFonts w:hint="eastAsia"/>
          <w:b/>
          <w:color w:val="000000"/>
          <w:sz w:val="21"/>
          <w:szCs w:val="21"/>
          <w:lang w:eastAsia="zh-CN"/>
        </w:rPr>
        <w:t>、</w:t>
      </w:r>
      <w:r>
        <w:rPr>
          <w:rFonts w:hint="eastAsia"/>
          <w:b/>
          <w:color w:val="000000"/>
          <w:sz w:val="21"/>
          <w:szCs w:val="21"/>
          <w:lang w:val="en-US" w:eastAsia="zh-CN"/>
        </w:rPr>
        <w:t>剩余塔身</w:t>
      </w:r>
      <w:r>
        <w:rPr>
          <w:rFonts w:hint="eastAsia"/>
          <w:b/>
          <w:color w:val="000000"/>
          <w:sz w:val="21"/>
          <w:szCs w:val="21"/>
        </w:rPr>
        <w:t>拆除示意图</w:t>
      </w:r>
    </w:p>
    <w:p w14:paraId="1293CCE4">
      <w:pPr>
        <w:pStyle w:val="2"/>
        <w:rPr>
          <w:rFonts w:ascii="仿宋" w:hAnsi="仿宋" w:eastAsia="仿宋"/>
          <w:color w:val="000000"/>
        </w:rPr>
      </w:pPr>
      <w:bookmarkStart w:id="62" w:name="_Toc30258"/>
      <w:r>
        <w:rPr>
          <w:rFonts w:hint="eastAsia" w:ascii="仿宋" w:hAnsi="仿宋" w:eastAsia="仿宋"/>
          <w:color w:val="000000"/>
        </w:rPr>
        <w:t>劳动组织</w:t>
      </w:r>
      <w:bookmarkEnd w:id="62"/>
    </w:p>
    <w:p w14:paraId="7D97763A">
      <w:pPr>
        <w:pStyle w:val="12"/>
        <w:keepNext/>
        <w:rPr>
          <w:rFonts w:ascii="仿宋" w:hAnsi="仿宋" w:eastAsia="仿宋"/>
          <w:color w:val="000000"/>
        </w:rPr>
      </w:pPr>
      <w:r>
        <w:rPr>
          <w:rFonts w:hint="eastAsia" w:ascii="仿宋" w:hAnsi="仿宋" w:eastAsia="仿宋"/>
          <w:color w:val="000000"/>
        </w:rPr>
        <w:t>表</w:t>
      </w:r>
      <w:bookmarkStart w:id="63" w:name="_Toc169769085"/>
      <w:r>
        <w:rPr>
          <w:rFonts w:hint="eastAsia" w:ascii="仿宋" w:hAnsi="仿宋" w:eastAsia="仿宋"/>
          <w:color w:val="000000"/>
        </w:rPr>
        <w:fldChar w:fldCharType="begin"/>
      </w:r>
      <w:r>
        <w:rPr>
          <w:rFonts w:hint="eastAsia" w:ascii="仿宋" w:hAnsi="仿宋" w:eastAsia="仿宋"/>
          <w:color w:val="000000"/>
        </w:rPr>
        <w:instrText xml:space="preserve"> STYLEREF 1 \s </w:instrText>
      </w:r>
      <w:r>
        <w:rPr>
          <w:rFonts w:hint="eastAsia" w:ascii="仿宋" w:hAnsi="仿宋" w:eastAsia="仿宋"/>
          <w:color w:val="000000"/>
        </w:rPr>
        <w:fldChar w:fldCharType="separate"/>
      </w:r>
      <w:r>
        <w:rPr>
          <w:rFonts w:hint="eastAsia" w:ascii="仿宋" w:hAnsi="仿宋" w:eastAsia="仿宋"/>
          <w:color w:val="000000"/>
        </w:rPr>
        <w:t>6</w:t>
      </w:r>
      <w:r>
        <w:rPr>
          <w:rFonts w:hint="eastAsia" w:ascii="仿宋" w:hAnsi="仿宋" w:eastAsia="仿宋"/>
          <w:color w:val="000000"/>
        </w:rPr>
        <w:fldChar w:fldCharType="end"/>
      </w:r>
      <w:r>
        <w:rPr>
          <w:rFonts w:hint="eastAsia" w:ascii="仿宋" w:hAnsi="仿宋" w:eastAsia="仿宋"/>
          <w:color w:val="000000"/>
        </w:rPr>
        <w:noBreakHyphen/>
      </w:r>
      <w:r>
        <w:rPr>
          <w:rFonts w:hint="eastAsia" w:ascii="仿宋" w:hAnsi="仿宋" w:eastAsia="仿宋"/>
          <w:color w:val="000000"/>
        </w:rPr>
        <w:fldChar w:fldCharType="begin"/>
      </w:r>
      <w:r>
        <w:rPr>
          <w:rFonts w:hint="eastAsia" w:ascii="仿宋" w:hAnsi="仿宋" w:eastAsia="仿宋"/>
          <w:color w:val="000000"/>
        </w:rPr>
        <w:instrText xml:space="preserve"> SEQ 表 \* ARABIC \s 1 </w:instrText>
      </w:r>
      <w:r>
        <w:rPr>
          <w:rFonts w:hint="eastAsia" w:ascii="仿宋" w:hAnsi="仿宋" w:eastAsia="仿宋"/>
          <w:color w:val="000000"/>
        </w:rPr>
        <w:fldChar w:fldCharType="separate"/>
      </w:r>
      <w:r>
        <w:rPr>
          <w:rFonts w:hint="eastAsia" w:ascii="仿宋" w:hAnsi="仿宋" w:eastAsia="仿宋"/>
          <w:color w:val="000000"/>
        </w:rPr>
        <w:t>1</w:t>
      </w:r>
      <w:r>
        <w:rPr>
          <w:rFonts w:hint="eastAsia" w:ascii="仿宋" w:hAnsi="仿宋" w:eastAsia="仿宋"/>
          <w:color w:val="000000"/>
        </w:rPr>
        <w:fldChar w:fldCharType="end"/>
      </w:r>
      <w:r>
        <w:rPr>
          <w:rFonts w:hint="eastAsia" w:ascii="仿宋" w:hAnsi="仿宋" w:eastAsia="仿宋"/>
          <w:color w:val="000000"/>
        </w:rPr>
        <w:t>施工管理人员配置表（每个工区）</w:t>
      </w:r>
    </w:p>
    <w:tbl>
      <w:tblPr>
        <w:tblStyle w:val="28"/>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1967"/>
        <w:gridCol w:w="1105"/>
        <w:gridCol w:w="2911"/>
        <w:gridCol w:w="2909"/>
      </w:tblGrid>
      <w:tr w14:paraId="7A8DE3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54" w:type="pct"/>
            <w:noWrap/>
            <w:vAlign w:val="center"/>
          </w:tcPr>
          <w:p w14:paraId="119EB0FA">
            <w:pPr>
              <w:pStyle w:val="104"/>
              <w:rPr>
                <w:rFonts w:cs="仿宋"/>
                <w:color w:val="auto"/>
                <w:highlight w:val="yellow"/>
                <w:lang w:val="en-US" w:eastAsia="zh-CN"/>
              </w:rPr>
            </w:pPr>
            <w:r>
              <w:rPr>
                <w:rFonts w:hint="eastAsia" w:cs="仿宋"/>
                <w:color w:val="auto"/>
                <w:kern w:val="0"/>
                <w:szCs w:val="21"/>
                <w:lang w:val="en-US" w:eastAsia="zh-CN"/>
              </w:rPr>
              <w:t>序号</w:t>
            </w:r>
          </w:p>
        </w:tc>
        <w:tc>
          <w:tcPr>
            <w:tcW w:w="1027" w:type="pct"/>
            <w:noWrap/>
            <w:vAlign w:val="center"/>
          </w:tcPr>
          <w:p w14:paraId="20EDA6D9">
            <w:pPr>
              <w:pStyle w:val="104"/>
              <w:rPr>
                <w:rFonts w:cs="仿宋"/>
                <w:color w:val="auto"/>
                <w:highlight w:val="yellow"/>
                <w:lang w:val="en-US" w:eastAsia="zh-CN"/>
              </w:rPr>
            </w:pPr>
            <w:r>
              <w:rPr>
                <w:rFonts w:hint="eastAsia" w:cs="仿宋"/>
                <w:color w:val="auto"/>
                <w:kern w:val="0"/>
                <w:szCs w:val="21"/>
                <w:lang w:val="en-US" w:eastAsia="zh-CN"/>
              </w:rPr>
              <w:t>职 务</w:t>
            </w:r>
          </w:p>
        </w:tc>
        <w:tc>
          <w:tcPr>
            <w:tcW w:w="577" w:type="pct"/>
            <w:noWrap/>
            <w:vAlign w:val="center"/>
          </w:tcPr>
          <w:p w14:paraId="0D7C938D">
            <w:pPr>
              <w:pStyle w:val="104"/>
              <w:rPr>
                <w:rFonts w:cs="仿宋"/>
                <w:color w:val="auto"/>
                <w:highlight w:val="yellow"/>
                <w:lang w:val="en-US" w:eastAsia="zh-CN"/>
              </w:rPr>
            </w:pPr>
            <w:r>
              <w:rPr>
                <w:rFonts w:hint="eastAsia" w:cs="仿宋"/>
                <w:color w:val="auto"/>
                <w:kern w:val="0"/>
                <w:szCs w:val="21"/>
                <w:lang w:val="en-US" w:eastAsia="zh-CN"/>
              </w:rPr>
              <w:t>姓 名</w:t>
            </w:r>
          </w:p>
        </w:tc>
        <w:tc>
          <w:tcPr>
            <w:tcW w:w="1520" w:type="pct"/>
            <w:noWrap/>
            <w:vAlign w:val="center"/>
          </w:tcPr>
          <w:p w14:paraId="6A6670A2">
            <w:pPr>
              <w:pStyle w:val="104"/>
              <w:rPr>
                <w:rFonts w:cs="仿宋"/>
                <w:color w:val="auto"/>
                <w:highlight w:val="yellow"/>
                <w:lang w:val="en-US" w:eastAsia="zh-CN"/>
              </w:rPr>
            </w:pPr>
            <w:r>
              <w:rPr>
                <w:rFonts w:hint="eastAsia" w:cs="仿宋"/>
                <w:color w:val="auto"/>
                <w:kern w:val="0"/>
                <w:szCs w:val="21"/>
                <w:lang w:val="en-US" w:eastAsia="zh-CN"/>
              </w:rPr>
              <w:t>负责内容</w:t>
            </w:r>
          </w:p>
        </w:tc>
        <w:tc>
          <w:tcPr>
            <w:tcW w:w="1519" w:type="pct"/>
            <w:noWrap/>
            <w:vAlign w:val="center"/>
          </w:tcPr>
          <w:p w14:paraId="61B38286">
            <w:pPr>
              <w:pStyle w:val="104"/>
              <w:rPr>
                <w:rFonts w:cs="仿宋"/>
                <w:color w:val="auto"/>
                <w:highlight w:val="yellow"/>
                <w:lang w:val="en-US" w:eastAsia="zh-CN"/>
              </w:rPr>
            </w:pPr>
            <w:r>
              <w:rPr>
                <w:rFonts w:hint="eastAsia" w:cs="仿宋"/>
                <w:color w:val="auto"/>
                <w:kern w:val="0"/>
                <w:szCs w:val="21"/>
                <w:lang w:val="en-US" w:eastAsia="zh-CN"/>
              </w:rPr>
              <w:t>联系电话</w:t>
            </w:r>
          </w:p>
        </w:tc>
      </w:tr>
      <w:tr w14:paraId="3E0CEE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4" w:type="pct"/>
            <w:noWrap/>
            <w:vAlign w:val="center"/>
          </w:tcPr>
          <w:p w14:paraId="475651A9">
            <w:pPr>
              <w:pStyle w:val="104"/>
              <w:rPr>
                <w:rFonts w:cs="仿宋"/>
                <w:color w:val="auto"/>
                <w:highlight w:val="yellow"/>
                <w:lang w:val="en-US" w:eastAsia="zh-CN"/>
              </w:rPr>
            </w:pPr>
            <w:r>
              <w:rPr>
                <w:rFonts w:hint="eastAsia" w:cs="仿宋"/>
                <w:color w:val="auto"/>
                <w:kern w:val="0"/>
                <w:szCs w:val="21"/>
                <w:lang w:val="en-US" w:eastAsia="zh-CN"/>
              </w:rPr>
              <w:t>1</w:t>
            </w:r>
          </w:p>
        </w:tc>
        <w:tc>
          <w:tcPr>
            <w:tcW w:w="1027" w:type="pct"/>
            <w:noWrap/>
            <w:vAlign w:val="center"/>
          </w:tcPr>
          <w:p w14:paraId="5AE5EA6C">
            <w:pPr>
              <w:pStyle w:val="104"/>
              <w:rPr>
                <w:rFonts w:cs="仿宋"/>
                <w:color w:val="auto"/>
                <w:highlight w:val="yellow"/>
                <w:lang w:val="en-US" w:eastAsia="zh-CN"/>
              </w:rPr>
            </w:pPr>
            <w:r>
              <w:rPr>
                <w:rFonts w:hint="eastAsia" w:cs="仿宋"/>
                <w:color w:val="auto"/>
                <w:kern w:val="0"/>
                <w:szCs w:val="21"/>
                <w:lang w:val="en-US" w:eastAsia="zh-CN"/>
              </w:rPr>
              <w:t>项目副经理</w:t>
            </w:r>
          </w:p>
        </w:tc>
        <w:tc>
          <w:tcPr>
            <w:tcW w:w="577" w:type="pct"/>
            <w:noWrap/>
            <w:vAlign w:val="center"/>
          </w:tcPr>
          <w:p w14:paraId="78146683">
            <w:pPr>
              <w:pStyle w:val="104"/>
              <w:rPr>
                <w:rFonts w:hint="default" w:cs="仿宋"/>
                <w:color w:val="auto"/>
                <w:highlight w:val="yellow"/>
                <w:lang w:val="en-US" w:eastAsia="zh-CN"/>
              </w:rPr>
            </w:pPr>
          </w:p>
        </w:tc>
        <w:tc>
          <w:tcPr>
            <w:tcW w:w="1520" w:type="pct"/>
            <w:noWrap/>
            <w:vAlign w:val="center"/>
          </w:tcPr>
          <w:p w14:paraId="248ED06E">
            <w:pPr>
              <w:pStyle w:val="104"/>
              <w:rPr>
                <w:rFonts w:cs="仿宋"/>
                <w:color w:val="auto"/>
                <w:highlight w:val="yellow"/>
                <w:lang w:val="en-US" w:eastAsia="zh-CN"/>
              </w:rPr>
            </w:pPr>
            <w:r>
              <w:rPr>
                <w:rFonts w:hint="eastAsia" w:cs="仿宋"/>
                <w:color w:val="auto"/>
                <w:kern w:val="0"/>
                <w:szCs w:val="21"/>
                <w:lang w:val="en-US" w:eastAsia="zh-CN"/>
              </w:rPr>
              <w:t>现场救援组织</w:t>
            </w:r>
          </w:p>
        </w:tc>
        <w:tc>
          <w:tcPr>
            <w:tcW w:w="1519" w:type="pct"/>
            <w:noWrap/>
            <w:vAlign w:val="center"/>
          </w:tcPr>
          <w:p w14:paraId="649CF137">
            <w:pPr>
              <w:pStyle w:val="104"/>
              <w:rPr>
                <w:rFonts w:cs="仿宋"/>
                <w:color w:val="auto"/>
                <w:highlight w:val="yellow"/>
                <w:lang w:val="en-US" w:eastAsia="zh-CN"/>
              </w:rPr>
            </w:pPr>
          </w:p>
        </w:tc>
      </w:tr>
      <w:tr w14:paraId="3F5877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4" w:type="pct"/>
            <w:noWrap/>
            <w:vAlign w:val="center"/>
          </w:tcPr>
          <w:p w14:paraId="6B8BD44C">
            <w:pPr>
              <w:pStyle w:val="104"/>
              <w:rPr>
                <w:rFonts w:cs="仿宋"/>
                <w:color w:val="auto"/>
                <w:highlight w:val="yellow"/>
                <w:lang w:val="en-US" w:eastAsia="zh-CN"/>
              </w:rPr>
            </w:pPr>
            <w:r>
              <w:rPr>
                <w:rFonts w:hint="eastAsia" w:cs="仿宋"/>
                <w:color w:val="auto"/>
                <w:kern w:val="0"/>
                <w:szCs w:val="21"/>
                <w:lang w:val="en-US" w:eastAsia="zh-CN"/>
              </w:rPr>
              <w:t>2</w:t>
            </w:r>
          </w:p>
        </w:tc>
        <w:tc>
          <w:tcPr>
            <w:tcW w:w="1027" w:type="pct"/>
            <w:noWrap/>
            <w:vAlign w:val="center"/>
          </w:tcPr>
          <w:p w14:paraId="4E891D77">
            <w:pPr>
              <w:pStyle w:val="104"/>
              <w:rPr>
                <w:rFonts w:cs="仿宋"/>
                <w:color w:val="auto"/>
                <w:highlight w:val="yellow"/>
                <w:lang w:val="en-US" w:eastAsia="zh-CN"/>
              </w:rPr>
            </w:pPr>
            <w:r>
              <w:rPr>
                <w:rFonts w:hint="eastAsia" w:cs="仿宋"/>
                <w:color w:val="auto"/>
                <w:kern w:val="0"/>
                <w:szCs w:val="21"/>
                <w:lang w:val="en-US" w:eastAsia="zh-CN"/>
              </w:rPr>
              <w:t>项目安全副总监</w:t>
            </w:r>
          </w:p>
        </w:tc>
        <w:tc>
          <w:tcPr>
            <w:tcW w:w="577" w:type="pct"/>
            <w:noWrap/>
            <w:vAlign w:val="center"/>
          </w:tcPr>
          <w:p w14:paraId="2422571E">
            <w:pPr>
              <w:pStyle w:val="104"/>
              <w:rPr>
                <w:rFonts w:hint="default" w:cs="仿宋"/>
                <w:color w:val="auto"/>
                <w:highlight w:val="yellow"/>
                <w:lang w:val="en-US" w:eastAsia="zh-CN"/>
              </w:rPr>
            </w:pPr>
          </w:p>
        </w:tc>
        <w:tc>
          <w:tcPr>
            <w:tcW w:w="1520" w:type="pct"/>
            <w:noWrap/>
            <w:vAlign w:val="center"/>
          </w:tcPr>
          <w:p w14:paraId="0A0F848F">
            <w:pPr>
              <w:pStyle w:val="104"/>
              <w:rPr>
                <w:rFonts w:cs="仿宋"/>
                <w:color w:val="auto"/>
                <w:highlight w:val="yellow"/>
                <w:lang w:val="en-US" w:eastAsia="zh-CN"/>
              </w:rPr>
            </w:pPr>
            <w:r>
              <w:rPr>
                <w:rFonts w:hint="eastAsia" w:cs="仿宋"/>
                <w:color w:val="auto"/>
                <w:kern w:val="0"/>
                <w:szCs w:val="21"/>
                <w:lang w:val="en-US" w:eastAsia="zh-CN"/>
              </w:rPr>
              <w:t>事故调查</w:t>
            </w:r>
          </w:p>
        </w:tc>
        <w:tc>
          <w:tcPr>
            <w:tcW w:w="1519" w:type="pct"/>
            <w:noWrap/>
            <w:vAlign w:val="center"/>
          </w:tcPr>
          <w:p w14:paraId="293D03AD">
            <w:pPr>
              <w:pStyle w:val="104"/>
              <w:rPr>
                <w:rFonts w:cs="仿宋"/>
                <w:color w:val="auto"/>
                <w:highlight w:val="yellow"/>
                <w:lang w:val="en-US" w:eastAsia="zh-CN"/>
              </w:rPr>
            </w:pPr>
          </w:p>
        </w:tc>
      </w:tr>
      <w:tr w14:paraId="4A52D9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4" w:type="pct"/>
            <w:noWrap/>
            <w:vAlign w:val="center"/>
          </w:tcPr>
          <w:p w14:paraId="0C6AC360">
            <w:pPr>
              <w:pStyle w:val="104"/>
              <w:rPr>
                <w:rFonts w:cs="仿宋"/>
                <w:color w:val="auto"/>
                <w:highlight w:val="yellow"/>
                <w:lang w:val="en-US" w:eastAsia="zh-CN"/>
              </w:rPr>
            </w:pPr>
            <w:r>
              <w:rPr>
                <w:rFonts w:hint="eastAsia" w:cs="仿宋"/>
                <w:color w:val="auto"/>
                <w:kern w:val="0"/>
                <w:szCs w:val="21"/>
                <w:lang w:val="en-US" w:eastAsia="zh-CN"/>
              </w:rPr>
              <w:t>3</w:t>
            </w:r>
          </w:p>
        </w:tc>
        <w:tc>
          <w:tcPr>
            <w:tcW w:w="1027" w:type="pct"/>
            <w:noWrap/>
            <w:vAlign w:val="center"/>
          </w:tcPr>
          <w:p w14:paraId="79F5D386">
            <w:pPr>
              <w:pStyle w:val="104"/>
              <w:rPr>
                <w:rFonts w:cs="仿宋"/>
                <w:color w:val="auto"/>
                <w:highlight w:val="yellow"/>
                <w:lang w:val="en-US" w:eastAsia="zh-CN"/>
              </w:rPr>
            </w:pPr>
            <w:r>
              <w:rPr>
                <w:rFonts w:hint="eastAsia" w:cs="仿宋"/>
                <w:color w:val="auto"/>
                <w:kern w:val="0"/>
                <w:szCs w:val="21"/>
                <w:lang w:val="en-US" w:eastAsia="zh-CN"/>
              </w:rPr>
              <w:t>现场技术负责人</w:t>
            </w:r>
          </w:p>
        </w:tc>
        <w:tc>
          <w:tcPr>
            <w:tcW w:w="577" w:type="pct"/>
            <w:noWrap/>
            <w:vAlign w:val="center"/>
          </w:tcPr>
          <w:p w14:paraId="17F81CC7">
            <w:pPr>
              <w:pStyle w:val="104"/>
              <w:rPr>
                <w:rFonts w:hint="default" w:cs="仿宋"/>
                <w:color w:val="auto"/>
                <w:highlight w:val="yellow"/>
                <w:lang w:val="en-US" w:eastAsia="zh-CN"/>
              </w:rPr>
            </w:pPr>
          </w:p>
        </w:tc>
        <w:tc>
          <w:tcPr>
            <w:tcW w:w="1520" w:type="pct"/>
            <w:noWrap/>
            <w:vAlign w:val="center"/>
          </w:tcPr>
          <w:p w14:paraId="7C2BDA3C">
            <w:pPr>
              <w:pStyle w:val="104"/>
              <w:rPr>
                <w:rFonts w:cs="仿宋"/>
                <w:color w:val="auto"/>
                <w:highlight w:val="yellow"/>
                <w:lang w:val="en-US" w:eastAsia="zh-CN"/>
              </w:rPr>
            </w:pPr>
            <w:r>
              <w:rPr>
                <w:rFonts w:hint="eastAsia" w:cs="仿宋"/>
                <w:color w:val="auto"/>
                <w:kern w:val="0"/>
                <w:szCs w:val="21"/>
                <w:lang w:val="en-US" w:eastAsia="zh-CN"/>
              </w:rPr>
              <w:t>现场救援技术方案、组织</w:t>
            </w:r>
          </w:p>
        </w:tc>
        <w:tc>
          <w:tcPr>
            <w:tcW w:w="1519" w:type="pct"/>
            <w:noWrap/>
            <w:vAlign w:val="center"/>
          </w:tcPr>
          <w:p w14:paraId="17540B4F">
            <w:pPr>
              <w:pStyle w:val="104"/>
              <w:rPr>
                <w:rFonts w:cs="仿宋"/>
                <w:color w:val="auto"/>
                <w:highlight w:val="yellow"/>
                <w:lang w:val="en-US" w:eastAsia="zh-CN"/>
              </w:rPr>
            </w:pPr>
          </w:p>
        </w:tc>
      </w:tr>
      <w:tr w14:paraId="0E2B2B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4" w:type="pct"/>
            <w:noWrap/>
            <w:vAlign w:val="center"/>
          </w:tcPr>
          <w:p w14:paraId="5565174F">
            <w:pPr>
              <w:pStyle w:val="104"/>
              <w:rPr>
                <w:rFonts w:cs="仿宋"/>
                <w:color w:val="auto"/>
                <w:highlight w:val="yellow"/>
                <w:lang w:val="en-US" w:eastAsia="zh-CN"/>
              </w:rPr>
            </w:pPr>
            <w:r>
              <w:rPr>
                <w:rFonts w:hint="eastAsia" w:cs="仿宋"/>
                <w:color w:val="auto"/>
                <w:kern w:val="0"/>
                <w:szCs w:val="21"/>
                <w:lang w:val="en-US" w:eastAsia="zh-CN"/>
              </w:rPr>
              <w:t>4</w:t>
            </w:r>
          </w:p>
        </w:tc>
        <w:tc>
          <w:tcPr>
            <w:tcW w:w="1027" w:type="pct"/>
            <w:noWrap/>
            <w:vAlign w:val="center"/>
          </w:tcPr>
          <w:p w14:paraId="202657C9">
            <w:pPr>
              <w:pStyle w:val="104"/>
              <w:rPr>
                <w:rFonts w:cs="仿宋"/>
                <w:color w:val="auto"/>
                <w:highlight w:val="yellow"/>
                <w:lang w:val="en-US" w:eastAsia="zh-CN"/>
              </w:rPr>
            </w:pPr>
            <w:r>
              <w:rPr>
                <w:rFonts w:hint="eastAsia" w:cs="仿宋"/>
                <w:color w:val="auto"/>
                <w:kern w:val="0"/>
                <w:szCs w:val="21"/>
                <w:lang w:val="en-US" w:eastAsia="zh-CN"/>
              </w:rPr>
              <w:t>安质部长</w:t>
            </w:r>
          </w:p>
        </w:tc>
        <w:tc>
          <w:tcPr>
            <w:tcW w:w="577" w:type="pct"/>
            <w:noWrap/>
            <w:vAlign w:val="center"/>
          </w:tcPr>
          <w:p w14:paraId="5D4783C0">
            <w:pPr>
              <w:pStyle w:val="104"/>
              <w:rPr>
                <w:rFonts w:hint="default" w:cs="仿宋"/>
                <w:color w:val="auto"/>
                <w:highlight w:val="yellow"/>
                <w:lang w:val="en-US" w:eastAsia="zh-CN"/>
              </w:rPr>
            </w:pPr>
          </w:p>
        </w:tc>
        <w:tc>
          <w:tcPr>
            <w:tcW w:w="1520" w:type="pct"/>
            <w:noWrap/>
            <w:vAlign w:val="center"/>
          </w:tcPr>
          <w:p w14:paraId="000F17C7">
            <w:pPr>
              <w:pStyle w:val="104"/>
              <w:rPr>
                <w:rFonts w:cs="仿宋"/>
                <w:color w:val="auto"/>
                <w:highlight w:val="yellow"/>
                <w:lang w:val="en-US" w:eastAsia="zh-CN"/>
              </w:rPr>
            </w:pPr>
            <w:r>
              <w:rPr>
                <w:rFonts w:hint="eastAsia" w:cs="仿宋"/>
                <w:color w:val="auto"/>
                <w:kern w:val="0"/>
                <w:szCs w:val="21"/>
                <w:lang w:val="en-US" w:eastAsia="zh-CN"/>
              </w:rPr>
              <w:t>现场疏导警戒</w:t>
            </w:r>
          </w:p>
        </w:tc>
        <w:tc>
          <w:tcPr>
            <w:tcW w:w="1519" w:type="pct"/>
            <w:noWrap/>
            <w:vAlign w:val="center"/>
          </w:tcPr>
          <w:p w14:paraId="63312420">
            <w:pPr>
              <w:pStyle w:val="104"/>
              <w:rPr>
                <w:rFonts w:cs="仿宋"/>
                <w:color w:val="auto"/>
                <w:highlight w:val="yellow"/>
                <w:lang w:val="en-US" w:eastAsia="zh-CN"/>
              </w:rPr>
            </w:pPr>
          </w:p>
        </w:tc>
      </w:tr>
      <w:tr w14:paraId="0C64CA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4" w:type="pct"/>
            <w:noWrap/>
            <w:vAlign w:val="center"/>
          </w:tcPr>
          <w:p w14:paraId="703F0391">
            <w:pPr>
              <w:pStyle w:val="104"/>
              <w:rPr>
                <w:rFonts w:cs="仿宋"/>
                <w:color w:val="auto"/>
                <w:highlight w:val="yellow"/>
                <w:lang w:val="en-US" w:eastAsia="zh-CN"/>
              </w:rPr>
            </w:pPr>
            <w:r>
              <w:rPr>
                <w:rFonts w:hint="eastAsia" w:cs="仿宋"/>
                <w:color w:val="auto"/>
                <w:kern w:val="0"/>
                <w:szCs w:val="21"/>
                <w:lang w:val="en-US" w:eastAsia="zh-CN"/>
              </w:rPr>
              <w:t>5</w:t>
            </w:r>
          </w:p>
        </w:tc>
        <w:tc>
          <w:tcPr>
            <w:tcW w:w="1027" w:type="pct"/>
            <w:noWrap/>
            <w:vAlign w:val="center"/>
          </w:tcPr>
          <w:p w14:paraId="78ABAA3F">
            <w:pPr>
              <w:pStyle w:val="104"/>
              <w:rPr>
                <w:rFonts w:cs="仿宋"/>
                <w:color w:val="auto"/>
                <w:highlight w:val="yellow"/>
                <w:lang w:val="en-US" w:eastAsia="zh-CN"/>
              </w:rPr>
            </w:pPr>
            <w:r>
              <w:rPr>
                <w:rFonts w:hint="eastAsia" w:cs="仿宋"/>
                <w:color w:val="auto"/>
                <w:kern w:val="0"/>
                <w:szCs w:val="21"/>
                <w:lang w:val="en-US" w:eastAsia="zh-CN"/>
              </w:rPr>
              <w:t>工程部长</w:t>
            </w:r>
          </w:p>
        </w:tc>
        <w:tc>
          <w:tcPr>
            <w:tcW w:w="577" w:type="pct"/>
            <w:noWrap/>
            <w:vAlign w:val="center"/>
          </w:tcPr>
          <w:p w14:paraId="7CC2F921">
            <w:pPr>
              <w:pStyle w:val="104"/>
              <w:rPr>
                <w:rFonts w:hint="default" w:cs="仿宋"/>
                <w:color w:val="auto"/>
                <w:highlight w:val="yellow"/>
                <w:lang w:val="en-US" w:eastAsia="zh-CN"/>
              </w:rPr>
            </w:pPr>
          </w:p>
        </w:tc>
        <w:tc>
          <w:tcPr>
            <w:tcW w:w="1520" w:type="pct"/>
            <w:noWrap/>
            <w:vAlign w:val="center"/>
          </w:tcPr>
          <w:p w14:paraId="49540D84">
            <w:pPr>
              <w:pStyle w:val="104"/>
              <w:rPr>
                <w:rFonts w:cs="仿宋"/>
                <w:color w:val="auto"/>
                <w:highlight w:val="yellow"/>
                <w:lang w:val="en-US" w:eastAsia="zh-CN"/>
              </w:rPr>
            </w:pPr>
            <w:r>
              <w:rPr>
                <w:rFonts w:hint="eastAsia" w:cs="仿宋"/>
                <w:color w:val="auto"/>
                <w:kern w:val="0"/>
                <w:szCs w:val="21"/>
                <w:lang w:val="en-US" w:eastAsia="zh-CN"/>
              </w:rPr>
              <w:t>现场救援技术方案</w:t>
            </w:r>
          </w:p>
        </w:tc>
        <w:tc>
          <w:tcPr>
            <w:tcW w:w="1519" w:type="pct"/>
            <w:noWrap/>
            <w:vAlign w:val="center"/>
          </w:tcPr>
          <w:p w14:paraId="5E692A6E">
            <w:pPr>
              <w:pStyle w:val="104"/>
              <w:rPr>
                <w:rFonts w:cs="仿宋"/>
                <w:color w:val="auto"/>
                <w:highlight w:val="yellow"/>
                <w:lang w:val="en-US" w:eastAsia="zh-CN"/>
              </w:rPr>
            </w:pPr>
          </w:p>
        </w:tc>
      </w:tr>
      <w:tr w14:paraId="425ED0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4" w:type="pct"/>
            <w:noWrap/>
            <w:vAlign w:val="center"/>
          </w:tcPr>
          <w:p w14:paraId="7D8C5789">
            <w:pPr>
              <w:pStyle w:val="104"/>
              <w:rPr>
                <w:rFonts w:cs="仿宋"/>
                <w:color w:val="auto"/>
                <w:highlight w:val="yellow"/>
                <w:lang w:val="en-US" w:eastAsia="zh-CN"/>
              </w:rPr>
            </w:pPr>
            <w:r>
              <w:rPr>
                <w:rFonts w:hint="eastAsia" w:cs="仿宋"/>
                <w:color w:val="auto"/>
                <w:kern w:val="0"/>
                <w:szCs w:val="21"/>
                <w:lang w:val="en-US" w:eastAsia="zh-CN"/>
              </w:rPr>
              <w:t>6</w:t>
            </w:r>
          </w:p>
        </w:tc>
        <w:tc>
          <w:tcPr>
            <w:tcW w:w="1027" w:type="pct"/>
            <w:noWrap/>
            <w:vAlign w:val="center"/>
          </w:tcPr>
          <w:p w14:paraId="47611648">
            <w:pPr>
              <w:pStyle w:val="104"/>
              <w:rPr>
                <w:rFonts w:cs="仿宋"/>
                <w:color w:val="auto"/>
                <w:highlight w:val="yellow"/>
                <w:lang w:val="en-US" w:eastAsia="zh-CN"/>
              </w:rPr>
            </w:pPr>
            <w:r>
              <w:rPr>
                <w:rFonts w:hint="eastAsia" w:cs="仿宋"/>
                <w:color w:val="auto"/>
                <w:kern w:val="0"/>
                <w:szCs w:val="21"/>
                <w:lang w:val="en-US" w:eastAsia="zh-CN"/>
              </w:rPr>
              <w:t>施工组长</w:t>
            </w:r>
          </w:p>
        </w:tc>
        <w:tc>
          <w:tcPr>
            <w:tcW w:w="577" w:type="pct"/>
            <w:noWrap/>
            <w:vAlign w:val="center"/>
          </w:tcPr>
          <w:p w14:paraId="49853253">
            <w:pPr>
              <w:pStyle w:val="104"/>
              <w:rPr>
                <w:rFonts w:cs="仿宋"/>
                <w:color w:val="auto"/>
                <w:highlight w:val="yellow"/>
                <w:lang w:val="en-US" w:eastAsia="zh-CN"/>
              </w:rPr>
            </w:pPr>
          </w:p>
        </w:tc>
        <w:tc>
          <w:tcPr>
            <w:tcW w:w="1520" w:type="pct"/>
            <w:noWrap/>
            <w:vAlign w:val="center"/>
          </w:tcPr>
          <w:p w14:paraId="21751733">
            <w:pPr>
              <w:pStyle w:val="104"/>
              <w:rPr>
                <w:rFonts w:cs="仿宋"/>
                <w:color w:val="auto"/>
                <w:highlight w:val="yellow"/>
                <w:lang w:val="en-US" w:eastAsia="zh-CN"/>
              </w:rPr>
            </w:pPr>
            <w:r>
              <w:rPr>
                <w:rFonts w:hint="eastAsia" w:cs="仿宋"/>
                <w:color w:val="auto"/>
                <w:kern w:val="0"/>
                <w:szCs w:val="21"/>
                <w:lang w:val="en-US" w:eastAsia="zh-CN"/>
              </w:rPr>
              <w:t>现场救援组织、事故调查</w:t>
            </w:r>
          </w:p>
        </w:tc>
        <w:tc>
          <w:tcPr>
            <w:tcW w:w="1519" w:type="pct"/>
            <w:noWrap/>
            <w:vAlign w:val="center"/>
          </w:tcPr>
          <w:p w14:paraId="16FD54C2">
            <w:pPr>
              <w:pStyle w:val="104"/>
              <w:rPr>
                <w:rFonts w:cs="仿宋"/>
                <w:color w:val="auto"/>
                <w:highlight w:val="yellow"/>
                <w:lang w:val="en-US" w:eastAsia="zh-CN"/>
              </w:rPr>
            </w:pPr>
          </w:p>
        </w:tc>
      </w:tr>
    </w:tbl>
    <w:p w14:paraId="2EF314BF">
      <w:pPr>
        <w:pStyle w:val="12"/>
        <w:keepNext/>
        <w:rPr>
          <w:rFonts w:ascii="仿宋" w:hAnsi="仿宋" w:eastAsia="仿宋"/>
          <w:color w:val="000000"/>
        </w:rPr>
      </w:pPr>
      <w:r>
        <w:rPr>
          <w:rFonts w:hint="eastAsia" w:ascii="仿宋" w:hAnsi="仿宋" w:eastAsia="仿宋"/>
          <w:color w:val="000000"/>
        </w:rPr>
        <w:t>表</w:t>
      </w:r>
      <w:r>
        <w:rPr>
          <w:rFonts w:hint="eastAsia" w:ascii="仿宋" w:hAnsi="仿宋" w:eastAsia="仿宋"/>
          <w:color w:val="000000"/>
        </w:rPr>
        <w:fldChar w:fldCharType="begin"/>
      </w:r>
      <w:r>
        <w:rPr>
          <w:rFonts w:hint="eastAsia" w:ascii="仿宋" w:hAnsi="仿宋" w:eastAsia="仿宋"/>
          <w:color w:val="000000"/>
        </w:rPr>
        <w:instrText xml:space="preserve"> STYLEREF 1 \s </w:instrText>
      </w:r>
      <w:r>
        <w:rPr>
          <w:rFonts w:hint="eastAsia" w:ascii="仿宋" w:hAnsi="仿宋" w:eastAsia="仿宋"/>
          <w:color w:val="000000"/>
        </w:rPr>
        <w:fldChar w:fldCharType="separate"/>
      </w:r>
      <w:r>
        <w:rPr>
          <w:rFonts w:hint="eastAsia" w:ascii="仿宋" w:hAnsi="仿宋" w:eastAsia="仿宋"/>
          <w:color w:val="000000"/>
        </w:rPr>
        <w:t>6</w:t>
      </w:r>
      <w:r>
        <w:rPr>
          <w:rFonts w:hint="eastAsia" w:ascii="仿宋" w:hAnsi="仿宋" w:eastAsia="仿宋"/>
          <w:color w:val="000000"/>
        </w:rPr>
        <w:fldChar w:fldCharType="end"/>
      </w:r>
      <w:r>
        <w:rPr>
          <w:rFonts w:hint="eastAsia" w:ascii="仿宋" w:hAnsi="仿宋" w:eastAsia="仿宋"/>
          <w:color w:val="000000"/>
        </w:rPr>
        <w:noBreakHyphen/>
      </w:r>
      <w:r>
        <w:rPr>
          <w:rFonts w:hint="eastAsia" w:ascii="仿宋" w:hAnsi="仿宋" w:eastAsia="仿宋"/>
          <w:color w:val="000000"/>
        </w:rPr>
        <w:fldChar w:fldCharType="begin"/>
      </w:r>
      <w:r>
        <w:rPr>
          <w:rFonts w:hint="eastAsia" w:ascii="仿宋" w:hAnsi="仿宋" w:eastAsia="仿宋"/>
          <w:color w:val="000000"/>
        </w:rPr>
        <w:instrText xml:space="preserve"> SEQ 表 \* ARABIC \s 1 </w:instrText>
      </w:r>
      <w:r>
        <w:rPr>
          <w:rFonts w:hint="eastAsia" w:ascii="仿宋" w:hAnsi="仿宋" w:eastAsia="仿宋"/>
          <w:color w:val="000000"/>
        </w:rPr>
        <w:fldChar w:fldCharType="separate"/>
      </w:r>
      <w:r>
        <w:rPr>
          <w:rFonts w:hint="eastAsia" w:ascii="仿宋" w:hAnsi="仿宋" w:eastAsia="仿宋"/>
          <w:color w:val="000000"/>
        </w:rPr>
        <w:t>2</w:t>
      </w:r>
      <w:r>
        <w:rPr>
          <w:rFonts w:hint="eastAsia" w:ascii="仿宋" w:hAnsi="仿宋" w:eastAsia="仿宋"/>
          <w:color w:val="000000"/>
        </w:rPr>
        <w:fldChar w:fldCharType="end"/>
      </w:r>
      <w:r>
        <w:rPr>
          <w:rFonts w:hint="eastAsia" w:ascii="仿宋" w:hAnsi="仿宋" w:eastAsia="仿宋"/>
          <w:color w:val="000000"/>
        </w:rPr>
        <w:t>施工作业人员计划表（每个作业面）</w:t>
      </w:r>
    </w:p>
    <w:tbl>
      <w:tblPr>
        <w:tblStyle w:val="28"/>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678"/>
        <w:gridCol w:w="740"/>
        <w:gridCol w:w="6516"/>
      </w:tblGrid>
      <w:tr w14:paraId="2281AB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58" w:type="pct"/>
            <w:noWrap/>
            <w:vAlign w:val="center"/>
          </w:tcPr>
          <w:p w14:paraId="0B80E0B3">
            <w:pPr>
              <w:pStyle w:val="104"/>
              <w:rPr>
                <w:rFonts w:cs="仿宋"/>
                <w:color w:val="000000"/>
                <w:lang w:val="en-US" w:eastAsia="zh-CN"/>
              </w:rPr>
            </w:pPr>
            <w:bookmarkStart w:id="64" w:name="_Hlk171320642"/>
            <w:r>
              <w:rPr>
                <w:rFonts w:hint="eastAsia" w:cs="仿宋"/>
                <w:color w:val="000000"/>
                <w:lang w:val="en-US" w:eastAsia="zh-CN"/>
              </w:rPr>
              <w:t>序号</w:t>
            </w:r>
          </w:p>
        </w:tc>
        <w:tc>
          <w:tcPr>
            <w:tcW w:w="1597" w:type="pct"/>
            <w:noWrap/>
            <w:vAlign w:val="center"/>
          </w:tcPr>
          <w:p w14:paraId="7F91874F">
            <w:pPr>
              <w:pStyle w:val="104"/>
              <w:rPr>
                <w:rFonts w:cs="仿宋"/>
                <w:color w:val="000000"/>
                <w:lang w:val="en-US" w:eastAsia="zh-CN"/>
              </w:rPr>
            </w:pPr>
            <w:r>
              <w:rPr>
                <w:rFonts w:hint="eastAsia" w:cs="仿宋"/>
                <w:color w:val="000000"/>
                <w:lang w:val="en-US" w:eastAsia="zh-CN"/>
              </w:rPr>
              <w:t>工种</w:t>
            </w:r>
          </w:p>
        </w:tc>
        <w:tc>
          <w:tcPr>
            <w:tcW w:w="910" w:type="pct"/>
            <w:noWrap/>
            <w:vAlign w:val="center"/>
          </w:tcPr>
          <w:p w14:paraId="374DAF49">
            <w:pPr>
              <w:pStyle w:val="104"/>
              <w:rPr>
                <w:rFonts w:cs="仿宋"/>
                <w:color w:val="000000"/>
                <w:lang w:val="en-US" w:eastAsia="zh-CN"/>
              </w:rPr>
            </w:pPr>
            <w:r>
              <w:rPr>
                <w:rFonts w:hint="eastAsia" w:cs="仿宋"/>
                <w:color w:val="000000"/>
                <w:lang w:val="en-US" w:eastAsia="zh-CN"/>
              </w:rPr>
              <w:t>人数</w:t>
            </w:r>
          </w:p>
        </w:tc>
        <w:tc>
          <w:tcPr>
            <w:tcW w:w="1833" w:type="pct"/>
            <w:noWrap/>
            <w:vAlign w:val="center"/>
          </w:tcPr>
          <w:p w14:paraId="0D39A350">
            <w:pPr>
              <w:pStyle w:val="104"/>
              <w:rPr>
                <w:rFonts w:cs="仿宋"/>
                <w:color w:val="000000"/>
                <w:lang w:val="en-US" w:eastAsia="zh-CN"/>
              </w:rPr>
            </w:pPr>
            <w:r>
              <w:rPr>
                <w:rFonts w:hint="eastAsia" w:cs="仿宋"/>
                <w:color w:val="000000"/>
                <w:lang w:val="en-US" w:eastAsia="zh-CN"/>
              </w:rPr>
              <w:t>备注</w:t>
            </w:r>
          </w:p>
        </w:tc>
      </w:tr>
      <w:tr w14:paraId="3A4A1C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noWrap/>
            <w:vAlign w:val="center"/>
          </w:tcPr>
          <w:p w14:paraId="4363B8C5">
            <w:pPr>
              <w:pStyle w:val="88"/>
              <w:spacing w:before="31" w:after="31"/>
              <w:rPr>
                <w:rFonts w:hint="default" w:cs="仿宋"/>
                <w:color w:val="000000"/>
              </w:rPr>
            </w:pPr>
            <w:r>
              <w:rPr>
                <w:color w:val="000000"/>
              </w:rPr>
              <w:t>1</w:t>
            </w:r>
          </w:p>
        </w:tc>
        <w:tc>
          <w:tcPr>
            <w:tcW w:w="1597" w:type="pct"/>
            <w:noWrap/>
            <w:vAlign w:val="center"/>
          </w:tcPr>
          <w:p w14:paraId="2FB2B914">
            <w:pPr>
              <w:pStyle w:val="88"/>
              <w:spacing w:before="31" w:after="31"/>
              <w:rPr>
                <w:rFonts w:hint="default" w:cs="仿宋"/>
                <w:color w:val="000000"/>
              </w:rPr>
            </w:pPr>
            <w:r>
              <w:rPr>
                <w:color w:val="000000"/>
              </w:rPr>
              <w:t>电工</w:t>
            </w:r>
          </w:p>
        </w:tc>
        <w:tc>
          <w:tcPr>
            <w:tcW w:w="910" w:type="pct"/>
            <w:noWrap/>
            <w:vAlign w:val="center"/>
          </w:tcPr>
          <w:p w14:paraId="32151FD0">
            <w:pPr>
              <w:pStyle w:val="88"/>
              <w:spacing w:before="31" w:after="31"/>
              <w:rPr>
                <w:rFonts w:hint="default" w:cs="仿宋"/>
                <w:color w:val="000000"/>
              </w:rPr>
            </w:pPr>
            <w:r>
              <w:rPr>
                <w:color w:val="000000"/>
              </w:rPr>
              <w:t>1</w:t>
            </w:r>
          </w:p>
        </w:tc>
        <w:tc>
          <w:tcPr>
            <w:tcW w:w="1833" w:type="pct"/>
            <w:noWrap/>
            <w:vAlign w:val="center"/>
          </w:tcPr>
          <w:p w14:paraId="2AF80934">
            <w:pPr>
              <w:pStyle w:val="88"/>
              <w:spacing w:before="31" w:after="31"/>
              <w:rPr>
                <w:rFonts w:hint="default" w:cs="仿宋"/>
                <w:color w:val="000000"/>
              </w:rPr>
            </w:pPr>
            <w:r>
              <w:rPr>
                <w:color w:val="000000"/>
              </w:rPr>
              <w:t>负责现场临时用电拆除、检查、维修</w:t>
            </w:r>
          </w:p>
        </w:tc>
      </w:tr>
      <w:tr w14:paraId="4E43E5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noWrap/>
            <w:vAlign w:val="center"/>
          </w:tcPr>
          <w:p w14:paraId="030666DE">
            <w:pPr>
              <w:pStyle w:val="88"/>
              <w:spacing w:before="31" w:after="31"/>
              <w:rPr>
                <w:rFonts w:hint="default" w:cs="仿宋"/>
                <w:color w:val="000000"/>
              </w:rPr>
            </w:pPr>
            <w:r>
              <w:rPr>
                <w:color w:val="000000"/>
              </w:rPr>
              <w:t>2</w:t>
            </w:r>
          </w:p>
        </w:tc>
        <w:tc>
          <w:tcPr>
            <w:tcW w:w="1597" w:type="pct"/>
            <w:noWrap/>
            <w:vAlign w:val="center"/>
          </w:tcPr>
          <w:p w14:paraId="159253C1">
            <w:pPr>
              <w:pStyle w:val="88"/>
              <w:spacing w:before="31" w:after="31"/>
              <w:rPr>
                <w:rFonts w:hint="default" w:cs="仿宋"/>
                <w:color w:val="000000"/>
              </w:rPr>
            </w:pPr>
            <w:r>
              <w:rPr>
                <w:color w:val="000000"/>
              </w:rPr>
              <w:t>拆除人员</w:t>
            </w:r>
          </w:p>
        </w:tc>
        <w:tc>
          <w:tcPr>
            <w:tcW w:w="910" w:type="pct"/>
            <w:noWrap/>
            <w:vAlign w:val="center"/>
          </w:tcPr>
          <w:p w14:paraId="4ABA6204">
            <w:pPr>
              <w:pStyle w:val="88"/>
              <w:spacing w:before="31" w:after="31"/>
              <w:rPr>
                <w:rFonts w:hint="default" w:cs="仿宋"/>
                <w:color w:val="000000"/>
              </w:rPr>
            </w:pPr>
            <w:r>
              <w:rPr>
                <w:color w:val="000000"/>
              </w:rPr>
              <w:t>4</w:t>
            </w:r>
          </w:p>
        </w:tc>
        <w:tc>
          <w:tcPr>
            <w:tcW w:w="1833" w:type="pct"/>
            <w:noWrap/>
            <w:vAlign w:val="center"/>
          </w:tcPr>
          <w:p w14:paraId="29DA1BE5">
            <w:pPr>
              <w:pStyle w:val="88"/>
              <w:spacing w:before="31" w:after="31"/>
              <w:rPr>
                <w:rFonts w:hint="default" w:cs="仿宋"/>
                <w:color w:val="000000"/>
              </w:rPr>
            </w:pPr>
            <w:r>
              <w:rPr>
                <w:color w:val="000000"/>
              </w:rPr>
              <w:t>按规章拆除起重机械</w:t>
            </w:r>
          </w:p>
        </w:tc>
      </w:tr>
      <w:tr w14:paraId="2A3DCD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noWrap/>
            <w:vAlign w:val="center"/>
          </w:tcPr>
          <w:p w14:paraId="1A451375">
            <w:pPr>
              <w:pStyle w:val="88"/>
              <w:spacing w:before="31" w:after="31"/>
              <w:rPr>
                <w:rFonts w:hint="default" w:cs="仿宋"/>
                <w:color w:val="000000"/>
              </w:rPr>
            </w:pPr>
            <w:r>
              <w:rPr>
                <w:color w:val="000000"/>
              </w:rPr>
              <w:t>3</w:t>
            </w:r>
          </w:p>
        </w:tc>
        <w:tc>
          <w:tcPr>
            <w:tcW w:w="1597" w:type="pct"/>
            <w:noWrap/>
            <w:vAlign w:val="center"/>
          </w:tcPr>
          <w:p w14:paraId="024CF8A5">
            <w:pPr>
              <w:pStyle w:val="88"/>
              <w:spacing w:before="31" w:after="31"/>
              <w:rPr>
                <w:rFonts w:hint="default" w:cs="仿宋"/>
                <w:color w:val="000000"/>
              </w:rPr>
            </w:pPr>
            <w:r>
              <w:rPr>
                <w:color w:val="000000"/>
              </w:rPr>
              <w:t>起重机械司机</w:t>
            </w:r>
          </w:p>
        </w:tc>
        <w:tc>
          <w:tcPr>
            <w:tcW w:w="910" w:type="pct"/>
            <w:noWrap/>
            <w:vAlign w:val="center"/>
          </w:tcPr>
          <w:p w14:paraId="0390942C">
            <w:pPr>
              <w:pStyle w:val="88"/>
              <w:spacing w:before="31" w:after="31"/>
              <w:rPr>
                <w:rFonts w:hint="default" w:cs="仿宋"/>
                <w:color w:val="000000"/>
              </w:rPr>
            </w:pPr>
            <w:r>
              <w:rPr>
                <w:color w:val="000000"/>
              </w:rPr>
              <w:t>1</w:t>
            </w:r>
          </w:p>
        </w:tc>
        <w:tc>
          <w:tcPr>
            <w:tcW w:w="1833" w:type="pct"/>
            <w:noWrap/>
            <w:vAlign w:val="center"/>
          </w:tcPr>
          <w:p w14:paraId="5D12C83D">
            <w:pPr>
              <w:pStyle w:val="88"/>
              <w:spacing w:before="31" w:after="31"/>
              <w:rPr>
                <w:rFonts w:hint="default" w:cs="仿宋"/>
                <w:color w:val="000000"/>
              </w:rPr>
            </w:pPr>
            <w:r>
              <w:rPr>
                <w:color w:val="000000"/>
              </w:rPr>
              <w:t>按规章、规程要求进行起重吊装作业，检查、维护起重机械（租赁）</w:t>
            </w:r>
          </w:p>
        </w:tc>
      </w:tr>
      <w:tr w14:paraId="452435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noWrap/>
            <w:vAlign w:val="center"/>
          </w:tcPr>
          <w:p w14:paraId="55DB01F9">
            <w:pPr>
              <w:pStyle w:val="88"/>
              <w:spacing w:before="31" w:after="31"/>
              <w:rPr>
                <w:rFonts w:hint="default" w:cs="仿宋"/>
                <w:color w:val="000000"/>
              </w:rPr>
            </w:pPr>
            <w:r>
              <w:rPr>
                <w:color w:val="000000"/>
              </w:rPr>
              <w:t>4</w:t>
            </w:r>
          </w:p>
        </w:tc>
        <w:tc>
          <w:tcPr>
            <w:tcW w:w="1597" w:type="pct"/>
            <w:noWrap/>
            <w:vAlign w:val="center"/>
          </w:tcPr>
          <w:p w14:paraId="38FACBA1">
            <w:pPr>
              <w:pStyle w:val="88"/>
              <w:spacing w:before="31" w:after="31"/>
              <w:rPr>
                <w:rFonts w:hint="default" w:cs="仿宋"/>
                <w:color w:val="000000"/>
              </w:rPr>
            </w:pPr>
            <w:r>
              <w:rPr>
                <w:rFonts w:hint="eastAsia"/>
                <w:color w:val="000000"/>
                <w:lang w:val="en-US" w:eastAsia="zh-CN"/>
              </w:rPr>
              <w:t>信号指挥工</w:t>
            </w:r>
          </w:p>
        </w:tc>
        <w:tc>
          <w:tcPr>
            <w:tcW w:w="910" w:type="pct"/>
            <w:noWrap/>
            <w:vAlign w:val="center"/>
          </w:tcPr>
          <w:p w14:paraId="695665B5">
            <w:pPr>
              <w:pStyle w:val="88"/>
              <w:spacing w:before="31" w:after="31"/>
              <w:rPr>
                <w:rFonts w:hint="default" w:cs="仿宋"/>
                <w:color w:val="000000"/>
              </w:rPr>
            </w:pPr>
            <w:r>
              <w:rPr>
                <w:color w:val="000000"/>
              </w:rPr>
              <w:t>1</w:t>
            </w:r>
          </w:p>
        </w:tc>
        <w:tc>
          <w:tcPr>
            <w:tcW w:w="1833" w:type="pct"/>
            <w:noWrap/>
            <w:vAlign w:val="center"/>
          </w:tcPr>
          <w:p w14:paraId="36C96218">
            <w:pPr>
              <w:pStyle w:val="88"/>
              <w:spacing w:before="31" w:after="31"/>
              <w:rPr>
                <w:rFonts w:hint="default" w:cs="仿宋"/>
                <w:color w:val="000000"/>
              </w:rPr>
            </w:pPr>
            <w:r>
              <w:rPr>
                <w:color w:val="000000"/>
              </w:rPr>
              <w:t>规范指挥起重吊装作业（租赁）</w:t>
            </w:r>
          </w:p>
        </w:tc>
      </w:tr>
      <w:tr w14:paraId="46768D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noWrap/>
            <w:vAlign w:val="center"/>
          </w:tcPr>
          <w:p w14:paraId="3B0C14BF">
            <w:pPr>
              <w:pStyle w:val="88"/>
              <w:spacing w:before="31" w:after="31"/>
              <w:rPr>
                <w:rFonts w:hint="default" w:cs="仿宋"/>
                <w:color w:val="000000"/>
              </w:rPr>
            </w:pPr>
            <w:r>
              <w:rPr>
                <w:color w:val="000000"/>
              </w:rPr>
              <w:t>5</w:t>
            </w:r>
          </w:p>
        </w:tc>
        <w:tc>
          <w:tcPr>
            <w:tcW w:w="1597" w:type="pct"/>
            <w:noWrap/>
            <w:vAlign w:val="center"/>
          </w:tcPr>
          <w:p w14:paraId="17370352">
            <w:pPr>
              <w:pStyle w:val="88"/>
              <w:spacing w:before="31" w:after="31"/>
              <w:rPr>
                <w:rFonts w:hint="default" w:cs="仿宋"/>
                <w:color w:val="000000"/>
              </w:rPr>
            </w:pPr>
            <w:r>
              <w:rPr>
                <w:color w:val="000000"/>
              </w:rPr>
              <w:t>合计</w:t>
            </w:r>
          </w:p>
        </w:tc>
        <w:tc>
          <w:tcPr>
            <w:tcW w:w="910" w:type="pct"/>
            <w:noWrap/>
            <w:vAlign w:val="center"/>
          </w:tcPr>
          <w:p w14:paraId="6789631E">
            <w:pPr>
              <w:pStyle w:val="88"/>
              <w:spacing w:before="31" w:after="31"/>
              <w:rPr>
                <w:rFonts w:hint="default" w:cs="仿宋"/>
                <w:color w:val="000000"/>
              </w:rPr>
            </w:pPr>
            <w:r>
              <w:rPr>
                <w:color w:val="000000"/>
              </w:rPr>
              <w:t>7</w:t>
            </w:r>
          </w:p>
        </w:tc>
        <w:tc>
          <w:tcPr>
            <w:tcW w:w="1833" w:type="pct"/>
            <w:noWrap/>
            <w:vAlign w:val="center"/>
          </w:tcPr>
          <w:p w14:paraId="0E90743C">
            <w:pPr>
              <w:pStyle w:val="88"/>
              <w:spacing w:before="31" w:after="31"/>
              <w:rPr>
                <w:rFonts w:hint="default" w:cs="仿宋"/>
                <w:color w:val="000000"/>
              </w:rPr>
            </w:pPr>
          </w:p>
        </w:tc>
      </w:tr>
      <w:bookmarkEnd w:id="64"/>
    </w:tbl>
    <w:p w14:paraId="60C5E8AF">
      <w:pPr>
        <w:ind w:left="1396" w:leftChars="235" w:hanging="738" w:hangingChars="350"/>
        <w:rPr>
          <w:b/>
          <w:bCs w:val="0"/>
          <w:color w:val="000000"/>
          <w:sz w:val="21"/>
          <w:szCs w:val="21"/>
        </w:rPr>
      </w:pPr>
      <w:r>
        <w:rPr>
          <w:rFonts w:hint="eastAsia"/>
          <w:b/>
          <w:bCs w:val="0"/>
          <w:color w:val="000000"/>
          <w:sz w:val="21"/>
          <w:szCs w:val="21"/>
        </w:rPr>
        <w:t>注：作业人员根据施工需要随时增减。</w:t>
      </w:r>
    </w:p>
    <w:p w14:paraId="2E6137B7">
      <w:pPr>
        <w:pStyle w:val="2"/>
        <w:rPr>
          <w:rFonts w:ascii="仿宋" w:hAnsi="仿宋" w:eastAsia="仿宋"/>
          <w:color w:val="000000"/>
        </w:rPr>
      </w:pPr>
      <w:bookmarkStart w:id="65" w:name="_Toc24748"/>
      <w:r>
        <w:rPr>
          <w:rFonts w:hint="eastAsia" w:ascii="仿宋" w:hAnsi="仿宋" w:eastAsia="仿宋"/>
          <w:color w:val="000000"/>
        </w:rPr>
        <w:t>材料要求</w:t>
      </w:r>
      <w:bookmarkEnd w:id="65"/>
    </w:p>
    <w:p w14:paraId="7266D32E">
      <w:pPr>
        <w:rPr>
          <w:color w:val="000000"/>
        </w:rPr>
      </w:pPr>
      <w:r>
        <w:rPr>
          <w:rFonts w:hint="eastAsia"/>
          <w:color w:val="000000"/>
        </w:rPr>
        <w:t>进场材料验收后，应按材料的不同种类、型号、规格、等级及生产厂家分别堆存，不得混杂，并设立识别标志，材料宜堆存在仓库（棚）内，露天堆置时，应垫高并加遮盖，以防淋雨锈蚀和其它污染。</w:t>
      </w:r>
    </w:p>
    <w:p w14:paraId="7C4E54D6">
      <w:pPr>
        <w:pStyle w:val="2"/>
        <w:rPr>
          <w:rFonts w:ascii="仿宋" w:hAnsi="仿宋" w:eastAsia="仿宋"/>
          <w:color w:val="000000"/>
        </w:rPr>
      </w:pPr>
      <w:bookmarkStart w:id="66" w:name="_Toc27759"/>
      <w:r>
        <w:rPr>
          <w:rFonts w:hint="eastAsia" w:ascii="仿宋" w:hAnsi="仿宋" w:eastAsia="仿宋"/>
          <w:color w:val="000000"/>
        </w:rPr>
        <w:t>设备机具配置</w:t>
      </w:r>
      <w:bookmarkEnd w:id="66"/>
    </w:p>
    <w:p w14:paraId="3D2BF775">
      <w:pPr>
        <w:pStyle w:val="12"/>
        <w:keepNext/>
        <w:rPr>
          <w:rFonts w:ascii="仿宋" w:hAnsi="仿宋" w:eastAsia="仿宋"/>
          <w:color w:val="000000"/>
        </w:rPr>
      </w:pPr>
      <w:r>
        <w:rPr>
          <w:rFonts w:hint="eastAsia" w:ascii="仿宋" w:hAnsi="仿宋" w:eastAsia="仿宋"/>
          <w:color w:val="000000"/>
        </w:rPr>
        <w:t>表</w:t>
      </w:r>
      <w:r>
        <w:rPr>
          <w:rFonts w:hint="eastAsia" w:ascii="仿宋" w:hAnsi="仿宋" w:eastAsia="仿宋"/>
          <w:color w:val="000000"/>
        </w:rPr>
        <w:fldChar w:fldCharType="begin"/>
      </w:r>
      <w:r>
        <w:rPr>
          <w:rFonts w:hint="eastAsia" w:ascii="仿宋" w:hAnsi="仿宋" w:eastAsia="仿宋"/>
          <w:color w:val="000000"/>
        </w:rPr>
        <w:instrText xml:space="preserve"> STYLEREF 1 \s </w:instrText>
      </w:r>
      <w:r>
        <w:rPr>
          <w:rFonts w:hint="eastAsia" w:ascii="仿宋" w:hAnsi="仿宋" w:eastAsia="仿宋"/>
          <w:color w:val="000000"/>
        </w:rPr>
        <w:fldChar w:fldCharType="separate"/>
      </w:r>
      <w:r>
        <w:rPr>
          <w:rFonts w:hint="eastAsia" w:ascii="仿宋" w:hAnsi="仿宋" w:eastAsia="仿宋"/>
          <w:color w:val="000000"/>
        </w:rPr>
        <w:t>8</w:t>
      </w:r>
      <w:r>
        <w:rPr>
          <w:rFonts w:hint="eastAsia" w:ascii="仿宋" w:hAnsi="仿宋" w:eastAsia="仿宋"/>
          <w:color w:val="000000"/>
        </w:rPr>
        <w:fldChar w:fldCharType="end"/>
      </w:r>
      <w:r>
        <w:rPr>
          <w:rFonts w:hint="eastAsia" w:ascii="仿宋" w:hAnsi="仿宋" w:eastAsia="仿宋"/>
          <w:color w:val="000000"/>
        </w:rPr>
        <w:noBreakHyphen/>
      </w:r>
      <w:r>
        <w:rPr>
          <w:rFonts w:hint="eastAsia" w:ascii="仿宋" w:hAnsi="仿宋" w:eastAsia="仿宋"/>
          <w:color w:val="000000"/>
        </w:rPr>
        <w:fldChar w:fldCharType="begin"/>
      </w:r>
      <w:r>
        <w:rPr>
          <w:rFonts w:hint="eastAsia" w:ascii="仿宋" w:hAnsi="仿宋" w:eastAsia="仿宋"/>
          <w:color w:val="000000"/>
        </w:rPr>
        <w:instrText xml:space="preserve"> SEQ 表 \* ARABIC \s 1 </w:instrText>
      </w:r>
      <w:r>
        <w:rPr>
          <w:rFonts w:hint="eastAsia" w:ascii="仿宋" w:hAnsi="仿宋" w:eastAsia="仿宋"/>
          <w:color w:val="000000"/>
        </w:rPr>
        <w:fldChar w:fldCharType="separate"/>
      </w:r>
      <w:r>
        <w:rPr>
          <w:rFonts w:hint="eastAsia" w:ascii="仿宋" w:hAnsi="仿宋" w:eastAsia="仿宋"/>
          <w:color w:val="000000"/>
        </w:rPr>
        <w:t>1</w:t>
      </w:r>
      <w:r>
        <w:rPr>
          <w:rFonts w:hint="eastAsia" w:ascii="仿宋" w:hAnsi="仿宋" w:eastAsia="仿宋"/>
          <w:color w:val="000000"/>
        </w:rPr>
        <w:fldChar w:fldCharType="end"/>
      </w:r>
      <w:r>
        <w:rPr>
          <w:rFonts w:hint="eastAsia" w:ascii="仿宋" w:hAnsi="仿宋" w:eastAsia="仿宋"/>
          <w:color w:val="000000"/>
        </w:rPr>
        <w:t>塔式起重机拆除施工主要机械设备配置表（每工点）</w:t>
      </w:r>
    </w:p>
    <w:tbl>
      <w:tblPr>
        <w:tblStyle w:val="28"/>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1664"/>
        <w:gridCol w:w="2631"/>
        <w:gridCol w:w="846"/>
        <w:gridCol w:w="3600"/>
      </w:tblGrid>
      <w:tr w14:paraId="24CA91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33" w:type="pct"/>
            <w:noWrap/>
            <w:vAlign w:val="center"/>
          </w:tcPr>
          <w:p w14:paraId="503C14C8">
            <w:pPr>
              <w:pStyle w:val="104"/>
              <w:rPr>
                <w:rFonts w:hint="eastAsia" w:ascii="仿宋" w:hAnsi="仿宋" w:eastAsia="仿宋" w:cs="仿宋"/>
                <w:color w:val="000000"/>
                <w:lang w:val="en-US" w:eastAsia="zh-CN"/>
              </w:rPr>
            </w:pPr>
            <w:r>
              <w:rPr>
                <w:rFonts w:hint="eastAsia" w:ascii="仿宋" w:hAnsi="仿宋" w:eastAsia="仿宋" w:cs="仿宋"/>
                <w:color w:val="000000"/>
                <w:lang w:val="en-US" w:eastAsia="zh-CN"/>
              </w:rPr>
              <w:t>序号</w:t>
            </w:r>
          </w:p>
        </w:tc>
        <w:tc>
          <w:tcPr>
            <w:tcW w:w="869" w:type="pct"/>
            <w:noWrap/>
            <w:vAlign w:val="center"/>
          </w:tcPr>
          <w:p w14:paraId="4A6DFD11">
            <w:pPr>
              <w:pStyle w:val="104"/>
              <w:rPr>
                <w:rFonts w:hint="eastAsia" w:ascii="仿宋" w:hAnsi="仿宋" w:eastAsia="仿宋" w:cs="仿宋"/>
                <w:color w:val="000000"/>
                <w:lang w:val="en-US" w:eastAsia="zh-CN"/>
              </w:rPr>
            </w:pPr>
            <w:r>
              <w:rPr>
                <w:rFonts w:hint="eastAsia" w:ascii="仿宋" w:hAnsi="仿宋" w:eastAsia="仿宋" w:cs="仿宋"/>
                <w:color w:val="000000"/>
                <w:lang w:val="en-US" w:eastAsia="zh-CN"/>
              </w:rPr>
              <w:t>设备名称</w:t>
            </w:r>
          </w:p>
        </w:tc>
        <w:tc>
          <w:tcPr>
            <w:tcW w:w="1374" w:type="pct"/>
            <w:noWrap/>
            <w:vAlign w:val="center"/>
          </w:tcPr>
          <w:p w14:paraId="70133856">
            <w:pPr>
              <w:pStyle w:val="104"/>
              <w:rPr>
                <w:rFonts w:hint="eastAsia" w:ascii="仿宋" w:hAnsi="仿宋" w:eastAsia="仿宋" w:cs="仿宋"/>
                <w:color w:val="000000"/>
                <w:lang w:val="en-US" w:eastAsia="zh-CN"/>
              </w:rPr>
            </w:pPr>
            <w:r>
              <w:rPr>
                <w:rFonts w:hint="eastAsia" w:ascii="仿宋" w:hAnsi="仿宋" w:eastAsia="仿宋" w:cs="仿宋"/>
                <w:color w:val="000000"/>
                <w:lang w:val="en-US" w:eastAsia="zh-CN"/>
              </w:rPr>
              <w:t>规格</w:t>
            </w:r>
          </w:p>
        </w:tc>
        <w:tc>
          <w:tcPr>
            <w:tcW w:w="442" w:type="pct"/>
            <w:noWrap/>
            <w:vAlign w:val="center"/>
          </w:tcPr>
          <w:p w14:paraId="70CA5662">
            <w:pPr>
              <w:pStyle w:val="104"/>
              <w:rPr>
                <w:rFonts w:hint="eastAsia" w:ascii="仿宋" w:hAnsi="仿宋" w:eastAsia="仿宋" w:cs="仿宋"/>
                <w:color w:val="000000"/>
                <w:lang w:val="en-US" w:eastAsia="zh-CN"/>
              </w:rPr>
            </w:pPr>
            <w:r>
              <w:rPr>
                <w:rFonts w:hint="eastAsia" w:ascii="仿宋" w:hAnsi="仿宋" w:eastAsia="仿宋" w:cs="仿宋"/>
                <w:color w:val="000000"/>
                <w:lang w:val="en-US" w:eastAsia="zh-CN"/>
              </w:rPr>
              <w:t>数量</w:t>
            </w:r>
          </w:p>
        </w:tc>
        <w:tc>
          <w:tcPr>
            <w:tcW w:w="1880" w:type="pct"/>
            <w:noWrap/>
            <w:vAlign w:val="center"/>
          </w:tcPr>
          <w:p w14:paraId="40E2274D">
            <w:pPr>
              <w:pStyle w:val="104"/>
              <w:rPr>
                <w:rFonts w:hint="eastAsia" w:ascii="仿宋" w:hAnsi="仿宋" w:eastAsia="仿宋" w:cs="仿宋"/>
                <w:color w:val="000000"/>
                <w:lang w:val="en-US" w:eastAsia="zh-CN"/>
              </w:rPr>
            </w:pPr>
            <w:r>
              <w:rPr>
                <w:rFonts w:hint="eastAsia" w:ascii="仿宋" w:hAnsi="仿宋" w:eastAsia="仿宋" w:cs="仿宋"/>
                <w:color w:val="000000"/>
                <w:lang w:val="en-US" w:eastAsia="zh-CN"/>
              </w:rPr>
              <w:t>备注</w:t>
            </w:r>
          </w:p>
        </w:tc>
      </w:tr>
      <w:tr w14:paraId="24B2BA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3" w:type="pct"/>
            <w:noWrap/>
            <w:vAlign w:val="center"/>
          </w:tcPr>
          <w:p w14:paraId="457AB3F7">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1</w:t>
            </w:r>
          </w:p>
        </w:tc>
        <w:tc>
          <w:tcPr>
            <w:tcW w:w="869" w:type="pct"/>
            <w:noWrap/>
            <w:vAlign w:val="center"/>
          </w:tcPr>
          <w:p w14:paraId="39357BB3">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汽车吊车</w:t>
            </w:r>
          </w:p>
        </w:tc>
        <w:tc>
          <w:tcPr>
            <w:tcW w:w="1374" w:type="pct"/>
            <w:noWrap/>
            <w:vAlign w:val="center"/>
          </w:tcPr>
          <w:p w14:paraId="462F2AAE">
            <w:pPr>
              <w:widowControl w:val="0"/>
              <w:spacing w:line="240" w:lineRule="auto"/>
              <w:ind w:firstLine="0" w:firstLineChars="0"/>
              <w:jc w:val="center"/>
              <w:rPr>
                <w:rFonts w:hint="eastAsia" w:ascii="仿宋" w:hAnsi="仿宋" w:eastAsia="仿宋" w:cs="仿宋"/>
                <w:color w:val="000000"/>
                <w:lang w:eastAsia="zh-CN"/>
              </w:rPr>
            </w:pPr>
            <w:r>
              <w:rPr>
                <w:rFonts w:hint="eastAsia" w:ascii="仿宋" w:hAnsi="仿宋" w:eastAsia="仿宋" w:cs="仿宋"/>
                <w:color w:val="000000"/>
                <w:sz w:val="21"/>
                <w:szCs w:val="21"/>
                <w:lang w:eastAsia="zh-CN"/>
              </w:rPr>
              <w:t>100t</w:t>
            </w:r>
          </w:p>
        </w:tc>
        <w:tc>
          <w:tcPr>
            <w:tcW w:w="442" w:type="pct"/>
            <w:noWrap/>
            <w:vAlign w:val="center"/>
          </w:tcPr>
          <w:p w14:paraId="081EB0D4">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1辆</w:t>
            </w:r>
          </w:p>
        </w:tc>
        <w:tc>
          <w:tcPr>
            <w:tcW w:w="1880" w:type="pct"/>
            <w:noWrap/>
            <w:vAlign w:val="center"/>
          </w:tcPr>
          <w:p w14:paraId="163BBA7C">
            <w:pPr>
              <w:widowControl w:val="0"/>
              <w:spacing w:line="240" w:lineRule="auto"/>
              <w:ind w:firstLine="0" w:firstLineChars="0"/>
              <w:jc w:val="center"/>
              <w:rPr>
                <w:rFonts w:hint="eastAsia" w:ascii="仿宋" w:hAnsi="仿宋" w:eastAsia="仿宋" w:cs="仿宋"/>
                <w:color w:val="000000"/>
              </w:rPr>
            </w:pPr>
          </w:p>
        </w:tc>
      </w:tr>
      <w:tr w14:paraId="5962D3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3" w:type="pct"/>
            <w:noWrap/>
            <w:vAlign w:val="center"/>
          </w:tcPr>
          <w:p w14:paraId="28CEA8BF">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2</w:t>
            </w:r>
          </w:p>
        </w:tc>
        <w:tc>
          <w:tcPr>
            <w:tcW w:w="869" w:type="pct"/>
            <w:noWrap/>
            <w:vAlign w:val="center"/>
          </w:tcPr>
          <w:p w14:paraId="5A8F3033">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钢丝绳</w:t>
            </w:r>
          </w:p>
        </w:tc>
        <w:tc>
          <w:tcPr>
            <w:tcW w:w="1374" w:type="pct"/>
            <w:noWrap/>
            <w:vAlign w:val="center"/>
          </w:tcPr>
          <w:p w14:paraId="3DB3FEB9">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bCs/>
                <w:color w:val="000000"/>
                <w:sz w:val="21"/>
                <w:szCs w:val="21"/>
                <w:lang w:val="en-US" w:eastAsia="zh-CN"/>
              </w:rPr>
              <w:t>22mm6×19S+FC1870Mpa</w:t>
            </w:r>
          </w:p>
        </w:tc>
        <w:tc>
          <w:tcPr>
            <w:tcW w:w="442" w:type="pct"/>
            <w:noWrap/>
            <w:vAlign w:val="center"/>
          </w:tcPr>
          <w:p w14:paraId="527F7AFC">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lang w:val="en-US" w:eastAsia="zh-CN"/>
              </w:rPr>
              <w:t>2</w:t>
            </w:r>
            <w:r>
              <w:rPr>
                <w:rFonts w:hint="eastAsia" w:ascii="仿宋" w:hAnsi="仿宋" w:eastAsia="仿宋" w:cs="仿宋"/>
                <w:color w:val="000000"/>
                <w:sz w:val="21"/>
                <w:szCs w:val="21"/>
              </w:rPr>
              <w:t>根</w:t>
            </w:r>
          </w:p>
        </w:tc>
        <w:tc>
          <w:tcPr>
            <w:tcW w:w="1880" w:type="pct"/>
            <w:noWrap/>
            <w:vAlign w:val="center"/>
          </w:tcPr>
          <w:p w14:paraId="703F3E82">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bCs/>
                <w:color w:val="000000"/>
                <w:sz w:val="21"/>
                <w:szCs w:val="21"/>
                <w:lang w:val="en-US" w:eastAsia="zh-CN"/>
              </w:rPr>
              <w:t>6m/根</w:t>
            </w:r>
          </w:p>
        </w:tc>
      </w:tr>
      <w:tr w14:paraId="032B91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3" w:type="pct"/>
            <w:shd w:val="clear" w:color="auto" w:fill="auto"/>
            <w:noWrap/>
            <w:vAlign w:val="center"/>
          </w:tcPr>
          <w:p w14:paraId="379D5728">
            <w:pPr>
              <w:widowControl w:val="0"/>
              <w:spacing w:line="240" w:lineRule="auto"/>
              <w:ind w:firstLine="0" w:firstLineChars="0"/>
              <w:jc w:val="center"/>
              <w:rPr>
                <w:rFonts w:hint="eastAsia" w:ascii="仿宋" w:hAnsi="仿宋" w:eastAsia="仿宋" w:cs="仿宋"/>
                <w:bCs/>
                <w:color w:val="000000"/>
                <w:kern w:val="2"/>
                <w:sz w:val="28"/>
                <w:szCs w:val="28"/>
                <w:lang w:val="en-US" w:eastAsia="zh-CN" w:bidi="ar-SA"/>
              </w:rPr>
            </w:pPr>
            <w:r>
              <w:rPr>
                <w:rFonts w:hint="eastAsia" w:ascii="仿宋" w:hAnsi="仿宋" w:eastAsia="仿宋" w:cs="仿宋"/>
                <w:color w:val="000000"/>
                <w:sz w:val="21"/>
                <w:szCs w:val="21"/>
              </w:rPr>
              <w:t>3</w:t>
            </w:r>
          </w:p>
        </w:tc>
        <w:tc>
          <w:tcPr>
            <w:tcW w:w="869" w:type="pct"/>
            <w:shd w:val="clear" w:color="auto" w:fill="auto"/>
            <w:noWrap/>
            <w:vAlign w:val="center"/>
          </w:tcPr>
          <w:p w14:paraId="4CADD43A">
            <w:pPr>
              <w:widowControl w:val="0"/>
              <w:spacing w:line="240" w:lineRule="auto"/>
              <w:ind w:firstLine="0" w:firstLineChars="0"/>
              <w:jc w:val="center"/>
              <w:rPr>
                <w:rFonts w:hint="eastAsia" w:ascii="仿宋" w:hAnsi="仿宋" w:eastAsia="仿宋" w:cs="仿宋"/>
                <w:bCs/>
                <w:color w:val="000000"/>
                <w:kern w:val="2"/>
                <w:sz w:val="28"/>
                <w:szCs w:val="28"/>
                <w:lang w:val="en-US" w:eastAsia="zh-CN" w:bidi="ar-SA"/>
              </w:rPr>
            </w:pPr>
            <w:r>
              <w:rPr>
                <w:rFonts w:hint="eastAsia" w:ascii="仿宋" w:hAnsi="仿宋" w:eastAsia="仿宋" w:cs="仿宋"/>
                <w:color w:val="000000"/>
                <w:sz w:val="21"/>
                <w:szCs w:val="21"/>
              </w:rPr>
              <w:t>钢丝绳</w:t>
            </w:r>
          </w:p>
        </w:tc>
        <w:tc>
          <w:tcPr>
            <w:tcW w:w="1374" w:type="pct"/>
            <w:shd w:val="clear" w:color="auto" w:fill="auto"/>
            <w:noWrap/>
            <w:vAlign w:val="center"/>
          </w:tcPr>
          <w:p w14:paraId="3044F11F">
            <w:pPr>
              <w:widowControl w:val="0"/>
              <w:spacing w:line="240" w:lineRule="auto"/>
              <w:ind w:firstLine="0" w:firstLineChars="0"/>
              <w:jc w:val="center"/>
              <w:rPr>
                <w:rFonts w:hint="eastAsia" w:ascii="仿宋" w:hAnsi="仿宋" w:eastAsia="仿宋" w:cs="仿宋"/>
                <w:bCs/>
                <w:color w:val="000000"/>
                <w:kern w:val="2"/>
                <w:sz w:val="28"/>
                <w:szCs w:val="28"/>
                <w:lang w:val="en-US" w:eastAsia="zh-CN" w:bidi="ar-SA"/>
              </w:rPr>
            </w:pPr>
            <w:r>
              <w:rPr>
                <w:rFonts w:hint="eastAsia" w:ascii="仿宋" w:hAnsi="仿宋" w:eastAsia="仿宋" w:cs="仿宋"/>
                <w:bCs/>
                <w:color w:val="000000"/>
                <w:sz w:val="21"/>
                <w:szCs w:val="21"/>
                <w:lang w:val="en-US" w:eastAsia="zh-CN"/>
              </w:rPr>
              <w:t>32mm6×19S+FC1870Mpa</w:t>
            </w:r>
          </w:p>
        </w:tc>
        <w:tc>
          <w:tcPr>
            <w:tcW w:w="442" w:type="pct"/>
            <w:shd w:val="clear" w:color="auto" w:fill="auto"/>
            <w:noWrap/>
            <w:vAlign w:val="center"/>
          </w:tcPr>
          <w:p w14:paraId="1764CC30">
            <w:pPr>
              <w:widowControl w:val="0"/>
              <w:spacing w:line="240" w:lineRule="auto"/>
              <w:ind w:firstLine="0" w:firstLineChars="0"/>
              <w:jc w:val="center"/>
              <w:rPr>
                <w:rFonts w:hint="eastAsia" w:ascii="仿宋" w:hAnsi="仿宋" w:eastAsia="仿宋" w:cs="仿宋"/>
                <w:bCs/>
                <w:color w:val="000000"/>
                <w:kern w:val="2"/>
                <w:sz w:val="28"/>
                <w:szCs w:val="28"/>
                <w:lang w:val="en-US" w:eastAsia="zh-CN" w:bidi="ar-SA"/>
              </w:rPr>
            </w:pPr>
            <w:r>
              <w:rPr>
                <w:rFonts w:hint="eastAsia" w:cs="仿宋"/>
                <w:color w:val="000000"/>
                <w:sz w:val="21"/>
                <w:szCs w:val="21"/>
                <w:lang w:val="en-US" w:eastAsia="zh-CN"/>
              </w:rPr>
              <w:t>4</w:t>
            </w:r>
            <w:r>
              <w:rPr>
                <w:rFonts w:hint="eastAsia" w:ascii="仿宋" w:hAnsi="仿宋" w:eastAsia="仿宋" w:cs="仿宋"/>
                <w:color w:val="000000"/>
                <w:sz w:val="21"/>
                <w:szCs w:val="21"/>
              </w:rPr>
              <w:t>根</w:t>
            </w:r>
          </w:p>
        </w:tc>
        <w:tc>
          <w:tcPr>
            <w:tcW w:w="1880" w:type="pct"/>
            <w:shd w:val="clear" w:color="auto" w:fill="auto"/>
            <w:noWrap/>
            <w:vAlign w:val="center"/>
          </w:tcPr>
          <w:p w14:paraId="4CBDD05C">
            <w:pPr>
              <w:widowControl w:val="0"/>
              <w:spacing w:line="240" w:lineRule="auto"/>
              <w:ind w:firstLine="0" w:firstLineChars="0"/>
              <w:jc w:val="center"/>
              <w:rPr>
                <w:rFonts w:hint="eastAsia" w:ascii="仿宋" w:hAnsi="仿宋" w:eastAsia="仿宋" w:cs="仿宋"/>
                <w:bCs/>
                <w:color w:val="000000"/>
                <w:kern w:val="2"/>
                <w:sz w:val="28"/>
                <w:szCs w:val="28"/>
                <w:lang w:val="en-US" w:eastAsia="zh-CN" w:bidi="ar-SA"/>
              </w:rPr>
            </w:pPr>
            <w:r>
              <w:rPr>
                <w:rFonts w:hint="eastAsia" w:ascii="仿宋" w:hAnsi="仿宋" w:eastAsia="仿宋" w:cs="仿宋"/>
                <w:bCs/>
                <w:color w:val="000000"/>
                <w:sz w:val="21"/>
                <w:szCs w:val="21"/>
                <w:lang w:val="en-US" w:eastAsia="zh-CN"/>
              </w:rPr>
              <w:t>6m/根</w:t>
            </w:r>
          </w:p>
        </w:tc>
      </w:tr>
      <w:tr w14:paraId="26EB5C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3" w:type="pct"/>
            <w:shd w:val="clear" w:color="auto" w:fill="auto"/>
            <w:noWrap/>
            <w:vAlign w:val="center"/>
          </w:tcPr>
          <w:p w14:paraId="337982F0">
            <w:pPr>
              <w:widowControl w:val="0"/>
              <w:spacing w:line="240" w:lineRule="auto"/>
              <w:ind w:firstLine="0" w:firstLineChars="0"/>
              <w:jc w:val="center"/>
              <w:rPr>
                <w:rFonts w:hint="eastAsia" w:ascii="仿宋" w:hAnsi="仿宋" w:eastAsia="仿宋" w:cs="仿宋"/>
                <w:bCs/>
                <w:color w:val="000000"/>
                <w:kern w:val="2"/>
                <w:sz w:val="28"/>
                <w:szCs w:val="28"/>
                <w:lang w:val="en-US" w:eastAsia="zh-CN" w:bidi="ar-SA"/>
              </w:rPr>
            </w:pPr>
            <w:r>
              <w:rPr>
                <w:rFonts w:hint="eastAsia" w:ascii="仿宋" w:hAnsi="仿宋" w:eastAsia="仿宋" w:cs="仿宋"/>
                <w:color w:val="000000"/>
                <w:sz w:val="21"/>
                <w:szCs w:val="21"/>
              </w:rPr>
              <w:t>4</w:t>
            </w:r>
          </w:p>
        </w:tc>
        <w:tc>
          <w:tcPr>
            <w:tcW w:w="869" w:type="pct"/>
            <w:noWrap/>
            <w:vAlign w:val="center"/>
          </w:tcPr>
          <w:p w14:paraId="486C4807">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卸扣</w:t>
            </w:r>
          </w:p>
        </w:tc>
        <w:tc>
          <w:tcPr>
            <w:tcW w:w="1374" w:type="pct"/>
            <w:noWrap/>
            <w:vAlign w:val="center"/>
          </w:tcPr>
          <w:p w14:paraId="6B3ACCF6">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GB/T 25854-6-DW5</w:t>
            </w:r>
          </w:p>
        </w:tc>
        <w:tc>
          <w:tcPr>
            <w:tcW w:w="442" w:type="pct"/>
            <w:noWrap/>
            <w:vAlign w:val="center"/>
          </w:tcPr>
          <w:p w14:paraId="78628F79">
            <w:pPr>
              <w:widowControl w:val="0"/>
              <w:spacing w:line="240" w:lineRule="auto"/>
              <w:ind w:firstLine="0" w:firstLineChars="0"/>
              <w:jc w:val="center"/>
              <w:rPr>
                <w:rFonts w:hint="eastAsia" w:ascii="仿宋" w:hAnsi="仿宋" w:eastAsia="仿宋" w:cs="仿宋"/>
                <w:color w:val="000000"/>
              </w:rPr>
            </w:pPr>
            <w:r>
              <w:rPr>
                <w:rFonts w:hint="eastAsia" w:cs="仿宋"/>
                <w:color w:val="000000"/>
                <w:sz w:val="21"/>
                <w:szCs w:val="21"/>
                <w:lang w:val="en-US" w:eastAsia="zh-CN"/>
              </w:rPr>
              <w:t>2</w:t>
            </w:r>
            <w:r>
              <w:rPr>
                <w:rFonts w:hint="eastAsia" w:ascii="仿宋" w:hAnsi="仿宋" w:eastAsia="仿宋" w:cs="仿宋"/>
                <w:color w:val="000000"/>
                <w:sz w:val="21"/>
                <w:szCs w:val="21"/>
              </w:rPr>
              <w:t>个</w:t>
            </w:r>
          </w:p>
        </w:tc>
        <w:tc>
          <w:tcPr>
            <w:tcW w:w="1880" w:type="pct"/>
            <w:noWrap/>
            <w:vAlign w:val="center"/>
          </w:tcPr>
          <w:p w14:paraId="6C260814">
            <w:pPr>
              <w:widowControl w:val="0"/>
              <w:spacing w:line="240" w:lineRule="auto"/>
              <w:ind w:firstLine="0" w:firstLineChars="0"/>
              <w:jc w:val="center"/>
              <w:rPr>
                <w:rFonts w:hint="eastAsia" w:ascii="仿宋" w:hAnsi="仿宋" w:eastAsia="仿宋" w:cs="仿宋"/>
                <w:color w:val="000000"/>
              </w:rPr>
            </w:pPr>
          </w:p>
        </w:tc>
      </w:tr>
      <w:tr w14:paraId="71AFDB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dxa"/>
            <w:shd w:val="clear" w:color="auto" w:fill="auto"/>
            <w:noWrap/>
            <w:vAlign w:val="center"/>
          </w:tcPr>
          <w:p w14:paraId="3110E527">
            <w:pPr>
              <w:widowControl w:val="0"/>
              <w:spacing w:line="240" w:lineRule="auto"/>
              <w:ind w:firstLine="0" w:firstLineChars="0"/>
              <w:jc w:val="center"/>
              <w:rPr>
                <w:rFonts w:hint="eastAsia" w:ascii="仿宋" w:hAnsi="仿宋" w:eastAsia="仿宋" w:cs="仿宋"/>
                <w:color w:val="000000"/>
                <w:sz w:val="21"/>
                <w:szCs w:val="21"/>
              </w:rPr>
            </w:pPr>
            <w:r>
              <w:rPr>
                <w:rFonts w:hint="eastAsia" w:ascii="仿宋" w:hAnsi="仿宋" w:eastAsia="仿宋" w:cs="仿宋"/>
                <w:color w:val="000000"/>
                <w:sz w:val="21"/>
                <w:szCs w:val="21"/>
              </w:rPr>
              <w:t>5</w:t>
            </w:r>
          </w:p>
        </w:tc>
        <w:tc>
          <w:tcPr>
            <w:tcW w:w="1664" w:type="dxa"/>
            <w:noWrap/>
            <w:vAlign w:val="center"/>
          </w:tcPr>
          <w:p w14:paraId="713167B5">
            <w:pPr>
              <w:widowControl w:val="0"/>
              <w:spacing w:line="240" w:lineRule="auto"/>
              <w:ind w:firstLine="0" w:firstLineChars="0"/>
              <w:jc w:val="center"/>
              <w:rPr>
                <w:rFonts w:hint="eastAsia" w:ascii="仿宋" w:hAnsi="仿宋" w:eastAsia="仿宋" w:cs="仿宋"/>
                <w:color w:val="000000"/>
                <w:sz w:val="21"/>
                <w:szCs w:val="21"/>
              </w:rPr>
            </w:pPr>
            <w:r>
              <w:rPr>
                <w:rFonts w:hint="eastAsia" w:ascii="仿宋" w:hAnsi="仿宋" w:eastAsia="仿宋" w:cs="仿宋"/>
                <w:color w:val="000000"/>
                <w:sz w:val="21"/>
                <w:szCs w:val="21"/>
              </w:rPr>
              <w:t>卸扣</w:t>
            </w:r>
          </w:p>
        </w:tc>
        <w:tc>
          <w:tcPr>
            <w:tcW w:w="2631" w:type="dxa"/>
            <w:noWrap/>
            <w:vAlign w:val="center"/>
          </w:tcPr>
          <w:p w14:paraId="2530B8B0">
            <w:pPr>
              <w:widowControl w:val="0"/>
              <w:spacing w:line="240" w:lineRule="auto"/>
              <w:ind w:firstLine="0" w:firstLineChars="0"/>
              <w:jc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rPr>
              <w:t>GB/T 25854-6-DW</w:t>
            </w:r>
            <w:r>
              <w:rPr>
                <w:rFonts w:hint="eastAsia" w:cs="仿宋"/>
                <w:color w:val="000000"/>
                <w:sz w:val="21"/>
                <w:szCs w:val="21"/>
                <w:lang w:val="en-US" w:eastAsia="zh-CN"/>
              </w:rPr>
              <w:t>10</w:t>
            </w:r>
          </w:p>
        </w:tc>
        <w:tc>
          <w:tcPr>
            <w:tcW w:w="846" w:type="dxa"/>
            <w:noWrap/>
            <w:vAlign w:val="center"/>
          </w:tcPr>
          <w:p w14:paraId="7E44005F">
            <w:pPr>
              <w:widowControl w:val="0"/>
              <w:spacing w:line="240" w:lineRule="auto"/>
              <w:ind w:firstLine="0" w:firstLineChars="0"/>
              <w:jc w:val="center"/>
              <w:rPr>
                <w:rFonts w:hint="eastAsia" w:ascii="仿宋" w:hAnsi="仿宋" w:eastAsia="仿宋" w:cs="仿宋"/>
                <w:color w:val="000000"/>
                <w:sz w:val="21"/>
                <w:szCs w:val="21"/>
              </w:rPr>
            </w:pPr>
            <w:r>
              <w:rPr>
                <w:rFonts w:hint="eastAsia" w:ascii="仿宋" w:hAnsi="仿宋" w:eastAsia="仿宋" w:cs="仿宋"/>
                <w:color w:val="000000"/>
                <w:sz w:val="21"/>
                <w:szCs w:val="21"/>
              </w:rPr>
              <w:t>4个</w:t>
            </w:r>
          </w:p>
        </w:tc>
        <w:tc>
          <w:tcPr>
            <w:tcW w:w="1880" w:type="pct"/>
            <w:noWrap/>
            <w:vAlign w:val="center"/>
          </w:tcPr>
          <w:p w14:paraId="635207B6">
            <w:pPr>
              <w:widowControl w:val="0"/>
              <w:spacing w:line="240" w:lineRule="auto"/>
              <w:ind w:firstLine="0" w:firstLineChars="0"/>
              <w:jc w:val="center"/>
              <w:rPr>
                <w:rFonts w:hint="eastAsia" w:ascii="仿宋" w:hAnsi="仿宋" w:eastAsia="仿宋" w:cs="仿宋"/>
                <w:color w:val="000000"/>
              </w:rPr>
            </w:pPr>
          </w:p>
        </w:tc>
      </w:tr>
      <w:tr w14:paraId="2D15BD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dxa"/>
            <w:shd w:val="clear" w:color="auto" w:fill="auto"/>
            <w:noWrap/>
            <w:vAlign w:val="center"/>
          </w:tcPr>
          <w:p w14:paraId="70AC281B">
            <w:pPr>
              <w:widowControl w:val="0"/>
              <w:spacing w:line="240" w:lineRule="auto"/>
              <w:ind w:firstLine="0" w:firstLineChars="0"/>
              <w:jc w:val="center"/>
              <w:rPr>
                <w:rFonts w:hint="eastAsia" w:ascii="仿宋" w:hAnsi="仿宋" w:eastAsia="仿宋" w:cs="仿宋"/>
                <w:bCs/>
                <w:color w:val="000000"/>
                <w:kern w:val="2"/>
                <w:sz w:val="28"/>
                <w:szCs w:val="28"/>
                <w:lang w:val="en-US" w:eastAsia="zh-CN" w:bidi="ar-SA"/>
              </w:rPr>
            </w:pPr>
            <w:r>
              <w:rPr>
                <w:rFonts w:hint="eastAsia" w:ascii="仿宋" w:hAnsi="仿宋" w:eastAsia="仿宋" w:cs="仿宋"/>
                <w:color w:val="000000"/>
                <w:sz w:val="21"/>
                <w:szCs w:val="21"/>
              </w:rPr>
              <w:t>6</w:t>
            </w:r>
          </w:p>
        </w:tc>
        <w:tc>
          <w:tcPr>
            <w:tcW w:w="869" w:type="pct"/>
            <w:noWrap/>
            <w:vAlign w:val="center"/>
          </w:tcPr>
          <w:p w14:paraId="794B903C">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倒链</w:t>
            </w:r>
          </w:p>
        </w:tc>
        <w:tc>
          <w:tcPr>
            <w:tcW w:w="1374" w:type="pct"/>
            <w:noWrap/>
            <w:vAlign w:val="center"/>
          </w:tcPr>
          <w:p w14:paraId="648036CA">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2t、3t</w:t>
            </w:r>
          </w:p>
        </w:tc>
        <w:tc>
          <w:tcPr>
            <w:tcW w:w="442" w:type="pct"/>
            <w:noWrap/>
            <w:vAlign w:val="center"/>
          </w:tcPr>
          <w:p w14:paraId="378086F3">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各2个</w:t>
            </w:r>
          </w:p>
        </w:tc>
        <w:tc>
          <w:tcPr>
            <w:tcW w:w="1880" w:type="pct"/>
            <w:noWrap/>
            <w:vAlign w:val="center"/>
          </w:tcPr>
          <w:p w14:paraId="42B59CBD">
            <w:pPr>
              <w:widowControl w:val="0"/>
              <w:spacing w:line="240" w:lineRule="auto"/>
              <w:ind w:firstLine="0" w:firstLineChars="0"/>
              <w:jc w:val="center"/>
              <w:rPr>
                <w:rFonts w:hint="eastAsia" w:ascii="仿宋" w:hAnsi="仿宋" w:eastAsia="仿宋" w:cs="仿宋"/>
                <w:color w:val="000000"/>
              </w:rPr>
            </w:pPr>
          </w:p>
        </w:tc>
      </w:tr>
      <w:tr w14:paraId="25637E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dxa"/>
            <w:shd w:val="clear" w:color="auto" w:fill="auto"/>
            <w:noWrap/>
            <w:vAlign w:val="center"/>
          </w:tcPr>
          <w:p w14:paraId="412D6053">
            <w:pPr>
              <w:widowControl w:val="0"/>
              <w:spacing w:line="240" w:lineRule="auto"/>
              <w:ind w:firstLine="0" w:firstLineChars="0"/>
              <w:jc w:val="center"/>
              <w:rPr>
                <w:rFonts w:hint="eastAsia" w:ascii="仿宋" w:hAnsi="仿宋" w:eastAsia="仿宋" w:cs="仿宋"/>
                <w:bCs/>
                <w:color w:val="000000"/>
                <w:kern w:val="2"/>
                <w:sz w:val="28"/>
                <w:szCs w:val="28"/>
                <w:lang w:val="en-US" w:eastAsia="zh-CN" w:bidi="ar-SA"/>
              </w:rPr>
            </w:pPr>
            <w:r>
              <w:rPr>
                <w:rFonts w:hint="eastAsia" w:ascii="仿宋" w:hAnsi="仿宋" w:eastAsia="仿宋" w:cs="仿宋"/>
                <w:color w:val="000000"/>
                <w:sz w:val="21"/>
                <w:szCs w:val="21"/>
              </w:rPr>
              <w:t>7</w:t>
            </w:r>
          </w:p>
        </w:tc>
        <w:tc>
          <w:tcPr>
            <w:tcW w:w="869" w:type="pct"/>
            <w:noWrap/>
            <w:vAlign w:val="center"/>
          </w:tcPr>
          <w:p w14:paraId="64BD4FC7">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卸扣</w:t>
            </w:r>
          </w:p>
        </w:tc>
        <w:tc>
          <w:tcPr>
            <w:tcW w:w="1374" w:type="pct"/>
            <w:noWrap/>
            <w:vAlign w:val="center"/>
          </w:tcPr>
          <w:p w14:paraId="5913CF26">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10t</w:t>
            </w:r>
          </w:p>
        </w:tc>
        <w:tc>
          <w:tcPr>
            <w:tcW w:w="442" w:type="pct"/>
            <w:noWrap/>
            <w:vAlign w:val="center"/>
          </w:tcPr>
          <w:p w14:paraId="0FE5D72A">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lang w:val="en-US" w:eastAsia="zh-CN"/>
              </w:rPr>
              <w:t>4</w:t>
            </w:r>
            <w:r>
              <w:rPr>
                <w:rFonts w:hint="eastAsia" w:ascii="仿宋" w:hAnsi="仿宋" w:eastAsia="仿宋" w:cs="仿宋"/>
                <w:color w:val="000000"/>
                <w:sz w:val="21"/>
                <w:szCs w:val="21"/>
              </w:rPr>
              <w:t>个</w:t>
            </w:r>
          </w:p>
        </w:tc>
        <w:tc>
          <w:tcPr>
            <w:tcW w:w="1880" w:type="pct"/>
            <w:noWrap/>
            <w:vAlign w:val="center"/>
          </w:tcPr>
          <w:p w14:paraId="534D1691">
            <w:pPr>
              <w:widowControl w:val="0"/>
              <w:spacing w:line="240" w:lineRule="auto"/>
              <w:ind w:firstLine="0" w:firstLineChars="0"/>
              <w:jc w:val="center"/>
              <w:rPr>
                <w:rFonts w:hint="eastAsia" w:ascii="仿宋" w:hAnsi="仿宋" w:eastAsia="仿宋" w:cs="仿宋"/>
                <w:color w:val="000000"/>
              </w:rPr>
            </w:pPr>
          </w:p>
        </w:tc>
      </w:tr>
      <w:tr w14:paraId="34451C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dxa"/>
            <w:shd w:val="clear" w:color="auto" w:fill="auto"/>
            <w:noWrap/>
            <w:vAlign w:val="center"/>
          </w:tcPr>
          <w:p w14:paraId="0A95ED85">
            <w:pPr>
              <w:widowControl w:val="0"/>
              <w:spacing w:line="240" w:lineRule="auto"/>
              <w:ind w:firstLine="0" w:firstLineChars="0"/>
              <w:jc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rPr>
              <w:t>8</w:t>
            </w:r>
          </w:p>
        </w:tc>
        <w:tc>
          <w:tcPr>
            <w:tcW w:w="869" w:type="pct"/>
            <w:noWrap/>
            <w:vAlign w:val="center"/>
          </w:tcPr>
          <w:p w14:paraId="628F9052">
            <w:pPr>
              <w:widowControl w:val="0"/>
              <w:spacing w:line="240" w:lineRule="auto"/>
              <w:ind w:firstLine="0" w:firstLineChars="0"/>
              <w:jc w:val="center"/>
              <w:rPr>
                <w:rFonts w:hint="eastAsia" w:ascii="仿宋" w:hAnsi="仿宋" w:eastAsia="仿宋" w:cs="仿宋"/>
                <w:color w:val="000000"/>
                <w:szCs w:val="21"/>
              </w:rPr>
            </w:pPr>
            <w:r>
              <w:rPr>
                <w:rFonts w:hint="eastAsia" w:ascii="仿宋" w:hAnsi="仿宋" w:eastAsia="仿宋" w:cs="仿宋"/>
                <w:color w:val="000000"/>
                <w:sz w:val="21"/>
                <w:szCs w:val="21"/>
              </w:rPr>
              <w:t>卸扣</w:t>
            </w:r>
          </w:p>
        </w:tc>
        <w:tc>
          <w:tcPr>
            <w:tcW w:w="1374" w:type="pct"/>
            <w:noWrap/>
            <w:vAlign w:val="center"/>
          </w:tcPr>
          <w:p w14:paraId="72BAD80E">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lang w:val="en-US" w:eastAsia="zh-CN"/>
              </w:rPr>
              <w:t>5</w:t>
            </w:r>
            <w:r>
              <w:rPr>
                <w:rFonts w:hint="eastAsia" w:ascii="仿宋" w:hAnsi="仿宋" w:eastAsia="仿宋" w:cs="仿宋"/>
                <w:color w:val="000000"/>
                <w:sz w:val="21"/>
                <w:szCs w:val="21"/>
              </w:rPr>
              <w:t>t</w:t>
            </w:r>
          </w:p>
        </w:tc>
        <w:tc>
          <w:tcPr>
            <w:tcW w:w="442" w:type="pct"/>
            <w:noWrap/>
            <w:vAlign w:val="center"/>
          </w:tcPr>
          <w:p w14:paraId="3119B73F">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 xml:space="preserve"> </w:t>
            </w:r>
            <w:r>
              <w:rPr>
                <w:rFonts w:hint="eastAsia" w:ascii="仿宋" w:hAnsi="仿宋" w:eastAsia="仿宋" w:cs="仿宋"/>
                <w:color w:val="000000"/>
                <w:sz w:val="21"/>
                <w:szCs w:val="21"/>
                <w:lang w:val="en-US" w:eastAsia="zh-CN"/>
              </w:rPr>
              <w:t>2</w:t>
            </w:r>
            <w:r>
              <w:rPr>
                <w:rFonts w:hint="eastAsia" w:ascii="仿宋" w:hAnsi="仿宋" w:eastAsia="仿宋" w:cs="仿宋"/>
                <w:color w:val="000000"/>
                <w:sz w:val="21"/>
                <w:szCs w:val="21"/>
              </w:rPr>
              <w:t>个</w:t>
            </w:r>
          </w:p>
        </w:tc>
        <w:tc>
          <w:tcPr>
            <w:tcW w:w="1880" w:type="pct"/>
            <w:noWrap/>
            <w:vAlign w:val="center"/>
          </w:tcPr>
          <w:p w14:paraId="179B4A86">
            <w:pPr>
              <w:widowControl w:val="0"/>
              <w:spacing w:line="240" w:lineRule="auto"/>
              <w:ind w:firstLine="0" w:firstLineChars="0"/>
              <w:jc w:val="center"/>
              <w:rPr>
                <w:rFonts w:hint="eastAsia" w:ascii="仿宋" w:hAnsi="仿宋" w:eastAsia="仿宋" w:cs="仿宋"/>
                <w:color w:val="000000"/>
              </w:rPr>
            </w:pPr>
          </w:p>
        </w:tc>
      </w:tr>
      <w:tr w14:paraId="1367B7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dxa"/>
            <w:shd w:val="clear" w:color="auto" w:fill="auto"/>
            <w:noWrap/>
            <w:vAlign w:val="center"/>
          </w:tcPr>
          <w:p w14:paraId="0BFC8ABB">
            <w:pPr>
              <w:widowControl w:val="0"/>
              <w:spacing w:line="240" w:lineRule="auto"/>
              <w:ind w:firstLine="0" w:firstLineChars="0"/>
              <w:jc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rPr>
              <w:t>9</w:t>
            </w:r>
          </w:p>
        </w:tc>
        <w:tc>
          <w:tcPr>
            <w:tcW w:w="869" w:type="pct"/>
            <w:noWrap/>
            <w:vAlign w:val="center"/>
          </w:tcPr>
          <w:p w14:paraId="17CDFCBF">
            <w:pPr>
              <w:widowControl w:val="0"/>
              <w:spacing w:line="240" w:lineRule="auto"/>
              <w:ind w:firstLine="0" w:firstLineChars="0"/>
              <w:jc w:val="center"/>
              <w:rPr>
                <w:rFonts w:hint="eastAsia" w:ascii="仿宋" w:hAnsi="仿宋" w:eastAsia="仿宋" w:cs="仿宋"/>
                <w:color w:val="000000"/>
                <w:szCs w:val="21"/>
              </w:rPr>
            </w:pPr>
            <w:r>
              <w:rPr>
                <w:rFonts w:hint="eastAsia" w:ascii="仿宋" w:hAnsi="仿宋" w:eastAsia="仿宋" w:cs="仿宋"/>
                <w:color w:val="000000"/>
                <w:sz w:val="21"/>
                <w:szCs w:val="21"/>
              </w:rPr>
              <w:t>大锤</w:t>
            </w:r>
          </w:p>
        </w:tc>
        <w:tc>
          <w:tcPr>
            <w:tcW w:w="1374" w:type="pct"/>
            <w:noWrap/>
            <w:vAlign w:val="center"/>
          </w:tcPr>
          <w:p w14:paraId="1585FE87">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20磅</w:t>
            </w:r>
          </w:p>
        </w:tc>
        <w:tc>
          <w:tcPr>
            <w:tcW w:w="442" w:type="pct"/>
            <w:noWrap/>
            <w:vAlign w:val="center"/>
          </w:tcPr>
          <w:p w14:paraId="6A46EC9B">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4把</w:t>
            </w:r>
          </w:p>
        </w:tc>
        <w:tc>
          <w:tcPr>
            <w:tcW w:w="1880" w:type="pct"/>
            <w:noWrap/>
            <w:vAlign w:val="center"/>
          </w:tcPr>
          <w:p w14:paraId="76BD638D">
            <w:pPr>
              <w:widowControl w:val="0"/>
              <w:spacing w:line="240" w:lineRule="auto"/>
              <w:ind w:firstLine="0" w:firstLineChars="0"/>
              <w:jc w:val="center"/>
              <w:rPr>
                <w:rFonts w:hint="eastAsia" w:ascii="仿宋" w:hAnsi="仿宋" w:eastAsia="仿宋" w:cs="仿宋"/>
                <w:color w:val="000000"/>
              </w:rPr>
            </w:pPr>
          </w:p>
        </w:tc>
      </w:tr>
      <w:tr w14:paraId="72B0C5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dxa"/>
            <w:shd w:val="clear" w:color="auto" w:fill="auto"/>
            <w:noWrap/>
            <w:vAlign w:val="center"/>
          </w:tcPr>
          <w:p w14:paraId="3FF50207">
            <w:pPr>
              <w:widowControl w:val="0"/>
              <w:spacing w:line="240" w:lineRule="auto"/>
              <w:ind w:firstLine="0" w:firstLineChars="0"/>
              <w:jc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10</w:t>
            </w:r>
          </w:p>
        </w:tc>
        <w:tc>
          <w:tcPr>
            <w:tcW w:w="869" w:type="pct"/>
            <w:noWrap/>
            <w:vAlign w:val="center"/>
          </w:tcPr>
          <w:p w14:paraId="09D173E8">
            <w:pPr>
              <w:widowControl w:val="0"/>
              <w:spacing w:line="240" w:lineRule="auto"/>
              <w:ind w:firstLine="0" w:firstLineChars="0"/>
              <w:jc w:val="center"/>
              <w:rPr>
                <w:rFonts w:hint="eastAsia" w:ascii="仿宋" w:hAnsi="仿宋" w:eastAsia="仿宋" w:cs="仿宋"/>
                <w:color w:val="000000"/>
                <w:szCs w:val="21"/>
              </w:rPr>
            </w:pPr>
            <w:r>
              <w:rPr>
                <w:rFonts w:hint="eastAsia" w:ascii="仿宋" w:hAnsi="仿宋" w:eastAsia="仿宋" w:cs="仿宋"/>
                <w:color w:val="000000"/>
                <w:sz w:val="21"/>
                <w:szCs w:val="21"/>
              </w:rPr>
              <w:t>手锤</w:t>
            </w:r>
          </w:p>
        </w:tc>
        <w:tc>
          <w:tcPr>
            <w:tcW w:w="1374" w:type="pct"/>
            <w:noWrap/>
            <w:vAlign w:val="center"/>
          </w:tcPr>
          <w:p w14:paraId="3CF36E53">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8磅</w:t>
            </w:r>
          </w:p>
        </w:tc>
        <w:tc>
          <w:tcPr>
            <w:tcW w:w="442" w:type="pct"/>
            <w:noWrap/>
            <w:vAlign w:val="center"/>
          </w:tcPr>
          <w:p w14:paraId="4049B235">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2把</w:t>
            </w:r>
          </w:p>
        </w:tc>
        <w:tc>
          <w:tcPr>
            <w:tcW w:w="1880" w:type="pct"/>
            <w:noWrap/>
            <w:vAlign w:val="center"/>
          </w:tcPr>
          <w:p w14:paraId="6021E7AD">
            <w:pPr>
              <w:widowControl w:val="0"/>
              <w:spacing w:line="240" w:lineRule="auto"/>
              <w:ind w:firstLine="0" w:firstLineChars="0"/>
              <w:jc w:val="center"/>
              <w:rPr>
                <w:rFonts w:hint="eastAsia" w:ascii="仿宋" w:hAnsi="仿宋" w:eastAsia="仿宋" w:cs="仿宋"/>
                <w:color w:val="000000"/>
              </w:rPr>
            </w:pPr>
          </w:p>
        </w:tc>
      </w:tr>
      <w:tr w14:paraId="3EE8A8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3" w:type="pct"/>
            <w:noWrap/>
            <w:vAlign w:val="center"/>
          </w:tcPr>
          <w:p w14:paraId="0FC81384">
            <w:pPr>
              <w:widowControl w:val="0"/>
              <w:spacing w:line="240" w:lineRule="auto"/>
              <w:ind w:firstLine="0" w:firstLineChars="0"/>
              <w:jc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11</w:t>
            </w:r>
          </w:p>
        </w:tc>
        <w:tc>
          <w:tcPr>
            <w:tcW w:w="869" w:type="pct"/>
            <w:noWrap/>
            <w:vAlign w:val="center"/>
          </w:tcPr>
          <w:p w14:paraId="3F449F69">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溜绳</w:t>
            </w:r>
          </w:p>
        </w:tc>
        <w:tc>
          <w:tcPr>
            <w:tcW w:w="1374" w:type="pct"/>
            <w:noWrap/>
            <w:vAlign w:val="center"/>
          </w:tcPr>
          <w:p w14:paraId="41553FC7">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b w:val="0"/>
                <w:bCs/>
                <w:color w:val="000000"/>
                <w:sz w:val="21"/>
                <w:szCs w:val="21"/>
                <w:highlight w:val="none"/>
                <w:vertAlign w:val="baseline"/>
                <w:lang w:val="en-US" w:eastAsia="zh-CN"/>
              </w:rPr>
              <w:t>直径Φ16mm</w:t>
            </w:r>
          </w:p>
        </w:tc>
        <w:tc>
          <w:tcPr>
            <w:tcW w:w="442" w:type="pct"/>
            <w:noWrap/>
            <w:vAlign w:val="center"/>
          </w:tcPr>
          <w:p w14:paraId="6FE58024">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color w:val="000000"/>
                <w:sz w:val="21"/>
                <w:szCs w:val="21"/>
              </w:rPr>
              <w:t>1根</w:t>
            </w:r>
          </w:p>
        </w:tc>
        <w:tc>
          <w:tcPr>
            <w:tcW w:w="1880" w:type="pct"/>
            <w:noWrap/>
            <w:vAlign w:val="center"/>
          </w:tcPr>
          <w:p w14:paraId="1E39F26E">
            <w:pPr>
              <w:widowControl w:val="0"/>
              <w:spacing w:line="240" w:lineRule="auto"/>
              <w:ind w:firstLine="0" w:firstLineChars="0"/>
              <w:jc w:val="center"/>
              <w:rPr>
                <w:rFonts w:hint="eastAsia" w:ascii="仿宋" w:hAnsi="仿宋" w:eastAsia="仿宋" w:cs="仿宋"/>
                <w:color w:val="000000"/>
              </w:rPr>
            </w:pPr>
            <w:r>
              <w:rPr>
                <w:rFonts w:hint="eastAsia" w:ascii="仿宋" w:hAnsi="仿宋" w:eastAsia="仿宋" w:cs="仿宋"/>
                <w:b w:val="0"/>
                <w:bCs/>
                <w:color w:val="000000"/>
                <w:sz w:val="21"/>
                <w:szCs w:val="21"/>
                <w:highlight w:val="none"/>
                <w:vertAlign w:val="baseline"/>
                <w:lang w:val="en-US" w:eastAsia="zh-CN"/>
              </w:rPr>
              <w:t>长度：50m</w:t>
            </w:r>
          </w:p>
        </w:tc>
      </w:tr>
    </w:tbl>
    <w:p w14:paraId="5CB46C6C">
      <w:pPr>
        <w:ind w:left="1396" w:leftChars="235" w:hanging="738" w:hangingChars="350"/>
        <w:rPr>
          <w:b/>
          <w:bCs w:val="0"/>
          <w:color w:val="000000"/>
          <w:sz w:val="21"/>
          <w:szCs w:val="21"/>
        </w:rPr>
      </w:pPr>
      <w:r>
        <w:rPr>
          <w:rFonts w:hint="eastAsia"/>
          <w:b/>
          <w:bCs w:val="0"/>
          <w:color w:val="000000"/>
          <w:sz w:val="21"/>
          <w:szCs w:val="21"/>
        </w:rPr>
        <w:t>注：机械设备投入根据作业内容，以满足现场各阶段施工需要为准，施工过程随时调整。</w:t>
      </w:r>
    </w:p>
    <w:p w14:paraId="2285BD27">
      <w:pPr>
        <w:pStyle w:val="2"/>
        <w:rPr>
          <w:rFonts w:ascii="仿宋" w:hAnsi="仿宋" w:eastAsia="仿宋"/>
          <w:color w:val="000000"/>
        </w:rPr>
      </w:pPr>
      <w:bookmarkStart w:id="67" w:name="_Toc11519"/>
      <w:r>
        <w:rPr>
          <w:rFonts w:hint="eastAsia" w:ascii="仿宋" w:hAnsi="仿宋" w:eastAsia="仿宋"/>
          <w:color w:val="000000"/>
        </w:rPr>
        <w:t>质量控制及检验</w:t>
      </w:r>
      <w:bookmarkEnd w:id="67"/>
    </w:p>
    <w:p w14:paraId="36A7EBB2">
      <w:pPr>
        <w:pStyle w:val="3"/>
        <w:rPr>
          <w:color w:val="000000"/>
        </w:rPr>
      </w:pPr>
      <w:bookmarkStart w:id="68" w:name="_Toc42641787"/>
      <w:bookmarkEnd w:id="68"/>
      <w:bookmarkStart w:id="69" w:name="_Toc4699"/>
      <w:bookmarkEnd w:id="69"/>
      <w:bookmarkStart w:id="70" w:name="_Toc31446"/>
      <w:bookmarkEnd w:id="70"/>
      <w:bookmarkStart w:id="71" w:name="_Toc42642327"/>
      <w:bookmarkEnd w:id="71"/>
      <w:bookmarkStart w:id="72" w:name="_Toc16436"/>
      <w:bookmarkEnd w:id="72"/>
      <w:bookmarkStart w:id="73" w:name="_Toc42641868"/>
      <w:bookmarkEnd w:id="73"/>
      <w:bookmarkStart w:id="74" w:name="_Toc5971"/>
      <w:bookmarkEnd w:id="74"/>
      <w:bookmarkStart w:id="75" w:name="_Toc42642040"/>
      <w:bookmarkEnd w:id="75"/>
      <w:bookmarkStart w:id="76" w:name="_Toc42641097"/>
      <w:bookmarkEnd w:id="76"/>
      <w:bookmarkStart w:id="77" w:name="_Toc18426"/>
      <w:bookmarkStart w:id="78" w:name="_Toc19045"/>
      <w:bookmarkStart w:id="79" w:name="_Toc21664"/>
      <w:bookmarkStart w:id="80" w:name="_Toc12151"/>
      <w:bookmarkStart w:id="81" w:name="_Toc3752"/>
      <w:bookmarkStart w:id="82" w:name="_Toc10409829"/>
      <w:bookmarkStart w:id="83" w:name="_Toc1659"/>
      <w:bookmarkStart w:id="84" w:name="_Toc13670"/>
      <w:bookmarkStart w:id="85" w:name="_Toc27701"/>
      <w:bookmarkStart w:id="86" w:name="_Toc533345518"/>
      <w:bookmarkStart w:id="87" w:name="_Toc42642337"/>
      <w:r>
        <w:rPr>
          <w:rFonts w:hint="eastAsia"/>
          <w:color w:val="000000"/>
        </w:rPr>
        <w:t>验收标准</w:t>
      </w:r>
      <w:bookmarkEnd w:id="77"/>
      <w:bookmarkEnd w:id="78"/>
      <w:bookmarkEnd w:id="79"/>
      <w:bookmarkEnd w:id="80"/>
    </w:p>
    <w:p w14:paraId="03A57FC0">
      <w:pPr>
        <w:rPr>
          <w:color w:val="000000"/>
        </w:rPr>
      </w:pPr>
      <w:r>
        <w:rPr>
          <w:rFonts w:hint="eastAsia"/>
          <w:color w:val="000000"/>
        </w:rPr>
        <w:t>《特种设备安全监察条例》（国务院令第549号）</w:t>
      </w:r>
    </w:p>
    <w:p w14:paraId="33E14A81">
      <w:pPr>
        <w:rPr>
          <w:color w:val="000000"/>
        </w:rPr>
      </w:pPr>
      <w:r>
        <w:rPr>
          <w:rFonts w:hint="eastAsia"/>
          <w:color w:val="000000"/>
        </w:rPr>
        <w:t>《起重机械安全监察规定》（质监总局令第92号）</w:t>
      </w:r>
    </w:p>
    <w:p w14:paraId="500BD807">
      <w:pPr>
        <w:rPr>
          <w:color w:val="000000"/>
        </w:rPr>
      </w:pPr>
      <w:r>
        <w:rPr>
          <w:rFonts w:hint="eastAsia"/>
          <w:color w:val="000000"/>
        </w:rPr>
        <w:t>《特种设备作业人员监督管理办法》（质监总局令第140号）</w:t>
      </w:r>
    </w:p>
    <w:p w14:paraId="7F385C94">
      <w:pPr>
        <w:rPr>
          <w:color w:val="auto"/>
        </w:rPr>
      </w:pPr>
      <w:r>
        <w:rPr>
          <w:rFonts w:hint="eastAsia"/>
          <w:color w:val="auto"/>
        </w:rPr>
        <w:t>《塔式起重机安全规程》（GB 5144-20</w:t>
      </w:r>
      <w:r>
        <w:rPr>
          <w:rFonts w:hint="eastAsia"/>
          <w:color w:val="auto"/>
          <w:lang w:val="en-US" w:eastAsia="zh-CN"/>
        </w:rPr>
        <w:t>25</w:t>
      </w:r>
      <w:r>
        <w:rPr>
          <w:rFonts w:hint="eastAsia"/>
          <w:color w:val="auto"/>
        </w:rPr>
        <w:t>）</w:t>
      </w:r>
    </w:p>
    <w:p w14:paraId="1AF8251C">
      <w:pPr>
        <w:rPr>
          <w:color w:val="auto"/>
        </w:rPr>
      </w:pPr>
      <w:r>
        <w:rPr>
          <w:rFonts w:hint="eastAsia"/>
          <w:color w:val="auto"/>
        </w:rPr>
        <w:t>《起重设备安装工程施工及验收规范》（GB 50278-2010）</w:t>
      </w:r>
    </w:p>
    <w:p w14:paraId="1FE4C8C1">
      <w:pPr>
        <w:rPr>
          <w:color w:val="auto"/>
        </w:rPr>
      </w:pPr>
      <w:r>
        <w:rPr>
          <w:rFonts w:hint="eastAsia"/>
          <w:color w:val="auto"/>
        </w:rPr>
        <w:t>《起重机 安全使用 第3部分：塔式起重机》（GB/T 23723.3-2010）</w:t>
      </w:r>
    </w:p>
    <w:p w14:paraId="0AECF8EC">
      <w:pPr>
        <w:rPr>
          <w:color w:val="auto"/>
        </w:rPr>
      </w:pPr>
      <w:r>
        <w:rPr>
          <w:rFonts w:hint="eastAsia"/>
          <w:color w:val="auto"/>
        </w:rPr>
        <w:t>《塔式起重机</w:t>
      </w:r>
      <w:r>
        <w:rPr>
          <w:rFonts w:hint="eastAsia"/>
          <w:color w:val="auto"/>
          <w:lang w:val="en-US" w:eastAsia="zh-CN"/>
        </w:rPr>
        <w:t>安全规程</w:t>
      </w:r>
      <w:r>
        <w:rPr>
          <w:rFonts w:hint="eastAsia"/>
          <w:color w:val="auto"/>
        </w:rPr>
        <w:t>》（GB/T 5</w:t>
      </w:r>
      <w:r>
        <w:rPr>
          <w:rFonts w:hint="eastAsia"/>
          <w:color w:val="auto"/>
          <w:lang w:val="en-US" w:eastAsia="zh-CN"/>
        </w:rPr>
        <w:t>144</w:t>
      </w:r>
      <w:r>
        <w:rPr>
          <w:rFonts w:hint="eastAsia"/>
          <w:color w:val="auto"/>
        </w:rPr>
        <w:t>-2008）</w:t>
      </w:r>
    </w:p>
    <w:p w14:paraId="1D95B5A3">
      <w:pPr>
        <w:rPr>
          <w:color w:val="auto"/>
        </w:rPr>
      </w:pPr>
      <w:r>
        <w:rPr>
          <w:rFonts w:hint="eastAsia"/>
          <w:color w:val="auto"/>
        </w:rPr>
        <w:t>《塔式起重机安装与拆卸规则》（GB/T 26471-20</w:t>
      </w:r>
      <w:r>
        <w:rPr>
          <w:rFonts w:hint="eastAsia"/>
          <w:color w:val="auto"/>
          <w:lang w:val="en-US" w:eastAsia="zh-CN"/>
        </w:rPr>
        <w:t>23</w:t>
      </w:r>
      <w:r>
        <w:rPr>
          <w:rFonts w:hint="eastAsia"/>
          <w:color w:val="auto"/>
        </w:rPr>
        <w:t>）</w:t>
      </w:r>
    </w:p>
    <w:p w14:paraId="5B912D90">
      <w:pPr>
        <w:rPr>
          <w:color w:val="000000"/>
        </w:rPr>
      </w:pPr>
      <w:r>
        <w:rPr>
          <w:rFonts w:hint="eastAsia"/>
          <w:color w:val="auto"/>
        </w:rPr>
        <w:t>《危险性较大的分部分项工程安全管理规定》住房和城</w:t>
      </w:r>
      <w:r>
        <w:rPr>
          <w:rFonts w:hint="eastAsia"/>
          <w:color w:val="000000"/>
        </w:rPr>
        <w:t>乡建设部令第37号</w:t>
      </w:r>
    </w:p>
    <w:p w14:paraId="644E6DB2">
      <w:pPr>
        <w:pStyle w:val="4"/>
        <w:tabs>
          <w:tab w:val="left" w:pos="0"/>
          <w:tab w:val="left" w:pos="630"/>
        </w:tabs>
        <w:rPr>
          <w:color w:val="000000"/>
        </w:rPr>
      </w:pPr>
      <w:r>
        <w:rPr>
          <w:rFonts w:hint="eastAsia"/>
          <w:color w:val="000000"/>
        </w:rPr>
        <w:t xml:space="preserve"> 塔式起重机结构安全</w:t>
      </w:r>
      <w:bookmarkEnd w:id="81"/>
      <w:bookmarkEnd w:id="82"/>
      <w:bookmarkEnd w:id="83"/>
    </w:p>
    <w:p w14:paraId="3FFFB6EE">
      <w:pPr>
        <w:rPr>
          <w:color w:val="000000"/>
        </w:rPr>
      </w:pPr>
      <w:r>
        <w:rPr>
          <w:rFonts w:hint="eastAsia"/>
          <w:color w:val="000000"/>
        </w:rPr>
        <w:t>（1）塔机垂直度允许偏差范围</w:t>
      </w:r>
    </w:p>
    <w:p w14:paraId="7B8D87CE">
      <w:pPr>
        <w:rPr>
          <w:color w:val="000000"/>
        </w:rPr>
      </w:pPr>
      <w:r>
        <w:rPr>
          <w:rFonts w:hint="eastAsia"/>
          <w:color w:val="000000"/>
        </w:rPr>
        <w:t>JGJ196-2010《建筑施工塔式起重机安装、使用、拆卸安全技术规程》第 30 页对塔机垂直度要求规定如下：独立状态或附墙状态下最高附墙点以上塔身轴线对支承面垂直度不得大于4/1000，最高附墙点下塔身轴线对支承面垂直度不得大于相应高度的2/1000。</w:t>
      </w:r>
    </w:p>
    <w:p w14:paraId="50272FF8">
      <w:pPr>
        <w:rPr>
          <w:color w:val="000000"/>
        </w:rPr>
      </w:pPr>
      <w:r>
        <w:rPr>
          <w:rFonts w:hint="eastAsia"/>
          <w:color w:val="000000"/>
        </w:rPr>
        <w:t>（2）塔机垂直度计算</w:t>
      </w:r>
    </w:p>
    <w:p w14:paraId="2C5728AA">
      <w:pPr>
        <w:rPr>
          <w:color w:val="000000"/>
        </w:rPr>
      </w:pPr>
      <w:r>
        <w:rPr>
          <w:rFonts w:hint="eastAsia"/>
          <w:color w:val="000000"/>
        </w:rPr>
        <w:t>塔机垂直度&lt;4/1000，附墙以下&lt;2/1000，附墙以上&lt;4/1000。</w:t>
      </w:r>
    </w:p>
    <w:p w14:paraId="64F3ADC8">
      <w:pPr>
        <w:pStyle w:val="4"/>
        <w:tabs>
          <w:tab w:val="left" w:pos="0"/>
          <w:tab w:val="left" w:pos="630"/>
        </w:tabs>
        <w:rPr>
          <w:color w:val="000000"/>
        </w:rPr>
      </w:pPr>
      <w:bookmarkStart w:id="88" w:name="_Toc3430"/>
      <w:bookmarkStart w:id="89" w:name="_Toc18388"/>
      <w:bookmarkStart w:id="90" w:name="_Toc10409830"/>
      <w:r>
        <w:rPr>
          <w:rFonts w:hint="eastAsia"/>
          <w:color w:val="000000"/>
        </w:rPr>
        <w:t>电气要求</w:t>
      </w:r>
      <w:bookmarkEnd w:id="88"/>
      <w:bookmarkEnd w:id="89"/>
      <w:bookmarkEnd w:id="90"/>
    </w:p>
    <w:p w14:paraId="4D86ED27">
      <w:pPr>
        <w:rPr>
          <w:color w:val="000000"/>
        </w:rPr>
      </w:pPr>
      <w:r>
        <w:rPr>
          <w:rFonts w:hint="eastAsia"/>
          <w:color w:val="000000"/>
        </w:rPr>
        <w:t>（1）电气部分</w:t>
      </w:r>
    </w:p>
    <w:p w14:paraId="039CB21F">
      <w:pPr>
        <w:rPr>
          <w:color w:val="000000"/>
        </w:rPr>
      </w:pPr>
      <w:r>
        <w:rPr>
          <w:rFonts w:hint="eastAsia"/>
          <w:color w:val="000000"/>
        </w:rPr>
        <w:t>起重机电气系统的设计符合GB3811-2008《起重机设计规范》和GB6067-2010《起重机械安全规程》的各项规定。起重机的电气设备能够保证机械的传动性能、电气的监控及保护性能安全、准确和可靠。在起重机发生紧急情况下，操作人员能够在司机室切断电源,安全停车。</w:t>
      </w:r>
    </w:p>
    <w:p w14:paraId="0F9C7B2D">
      <w:pPr>
        <w:rPr>
          <w:color w:val="000000"/>
        </w:rPr>
      </w:pPr>
      <w:r>
        <w:rPr>
          <w:rFonts w:hint="eastAsia"/>
          <w:color w:val="000000"/>
        </w:rPr>
        <w:t>（2）供电</w:t>
      </w:r>
    </w:p>
    <w:p w14:paraId="2E2DC295">
      <w:pPr>
        <w:rPr>
          <w:color w:val="000000"/>
        </w:rPr>
      </w:pPr>
      <w:r>
        <w:rPr>
          <w:rFonts w:hint="eastAsia"/>
          <w:color w:val="000000"/>
        </w:rPr>
        <w:t>起重机供电电源为三相交流电源,电压380V±10%,频率50HZ。</w:t>
      </w:r>
    </w:p>
    <w:p w14:paraId="58766FA2">
      <w:pPr>
        <w:rPr>
          <w:color w:val="000000"/>
        </w:rPr>
      </w:pPr>
      <w:r>
        <w:rPr>
          <w:rFonts w:hint="eastAsia"/>
          <w:color w:val="000000"/>
        </w:rPr>
        <w:t>（3）电气保护</w:t>
      </w:r>
    </w:p>
    <w:p w14:paraId="1155D14E">
      <w:pPr>
        <w:rPr>
          <w:color w:val="000000"/>
        </w:rPr>
      </w:pPr>
      <w:r>
        <w:rPr>
          <w:rFonts w:hint="eastAsia"/>
          <w:color w:val="000000"/>
        </w:rPr>
        <w:t>1）短路及过载保护:</w:t>
      </w:r>
    </w:p>
    <w:p w14:paraId="3E353DDD">
      <w:pPr>
        <w:rPr>
          <w:color w:val="000000"/>
        </w:rPr>
      </w:pPr>
      <w:r>
        <w:rPr>
          <w:rFonts w:hint="eastAsia"/>
          <w:color w:val="000000"/>
        </w:rPr>
        <w:t>起重机总受电屏、控制屏进出电源设置断路器、控制回路设置小容量断路器，使各机构在短路，过载等事故状态下，迅速与电源脱离,以达到保护设备及人机安全的目的。</w:t>
      </w:r>
    </w:p>
    <w:p w14:paraId="6BA056B2">
      <w:pPr>
        <w:rPr>
          <w:color w:val="000000"/>
        </w:rPr>
      </w:pPr>
      <w:r>
        <w:rPr>
          <w:rFonts w:hint="eastAsia"/>
          <w:color w:val="000000"/>
        </w:rPr>
        <w:t>2）失压保护:</w:t>
      </w:r>
    </w:p>
    <w:p w14:paraId="23628296">
      <w:pPr>
        <w:rPr>
          <w:color w:val="000000"/>
        </w:rPr>
      </w:pPr>
      <w:r>
        <w:rPr>
          <w:rFonts w:hint="eastAsia"/>
          <w:color w:val="000000"/>
        </w:rPr>
        <w:t>在总受电屏及机构控制屏中，用线路接触器作为失压保护装置，当供电电源中断时,能够自动断开电源。</w:t>
      </w:r>
    </w:p>
    <w:p w14:paraId="3E0572BA">
      <w:pPr>
        <w:rPr>
          <w:color w:val="000000"/>
        </w:rPr>
      </w:pPr>
      <w:r>
        <w:rPr>
          <w:rFonts w:hint="eastAsia"/>
          <w:color w:val="000000"/>
        </w:rPr>
        <w:t>3）零位保护:</w:t>
      </w:r>
    </w:p>
    <w:p w14:paraId="193C9E33">
      <w:pPr>
        <w:rPr>
          <w:color w:val="000000"/>
        </w:rPr>
      </w:pPr>
      <w:r>
        <w:rPr>
          <w:rFonts w:hint="eastAsia"/>
          <w:color w:val="000000"/>
        </w:rPr>
        <w:t>司机室的联动台凸轮控制器手柄上设有零位连锁，达到零位的目的。即当起重机开始运转前和失压恢复供电时，必须将控制器的手柄置于零位，各机构的电动机才能启动工作。</w:t>
      </w:r>
    </w:p>
    <w:p w14:paraId="1C78F49F">
      <w:pPr>
        <w:rPr>
          <w:color w:val="000000"/>
        </w:rPr>
      </w:pPr>
      <w:r>
        <w:rPr>
          <w:rFonts w:hint="eastAsia"/>
          <w:color w:val="000000"/>
        </w:rPr>
        <w:t>4）紧急断电保护:</w:t>
      </w:r>
    </w:p>
    <w:p w14:paraId="03003443">
      <w:pPr>
        <w:rPr>
          <w:color w:val="000000"/>
        </w:rPr>
      </w:pPr>
      <w:r>
        <w:rPr>
          <w:rFonts w:hint="eastAsia"/>
          <w:color w:val="000000"/>
        </w:rPr>
        <w:t>司机室内设有紧急断电按钮，当起重机发生紧急情况时，随时方便地切</w:t>
      </w:r>
    </w:p>
    <w:p w14:paraId="1A69A371">
      <w:pPr>
        <w:rPr>
          <w:color w:val="000000"/>
        </w:rPr>
      </w:pPr>
      <w:r>
        <w:rPr>
          <w:rFonts w:hint="eastAsia"/>
          <w:color w:val="000000"/>
        </w:rPr>
        <w:t>断控制回路电源，从而使主回路断电，确保起重机的安全运行。</w:t>
      </w:r>
    </w:p>
    <w:p w14:paraId="30CBD501">
      <w:pPr>
        <w:rPr>
          <w:color w:val="000000"/>
        </w:rPr>
      </w:pPr>
      <w:r>
        <w:rPr>
          <w:rFonts w:hint="eastAsia"/>
          <w:color w:val="000000"/>
        </w:rPr>
        <w:t>5）上升高度及下降深度限位保护:</w:t>
      </w:r>
    </w:p>
    <w:p w14:paraId="4BFC72C4">
      <w:pPr>
        <w:rPr>
          <w:color w:val="000000"/>
        </w:rPr>
      </w:pPr>
      <w:r>
        <w:rPr>
          <w:rFonts w:hint="eastAsia"/>
          <w:color w:val="000000"/>
        </w:rPr>
        <w:t>起升启动加软启动，起升机构设有双限位开关，可保证吊钩上升到极限位置时切断电源，从而达到减速和停车的目的，确保起重机的安全运行。</w:t>
      </w:r>
    </w:p>
    <w:p w14:paraId="2CAB826E">
      <w:pPr>
        <w:rPr>
          <w:color w:val="000000"/>
        </w:rPr>
      </w:pPr>
      <w:r>
        <w:rPr>
          <w:rFonts w:hint="eastAsia"/>
          <w:color w:val="000000"/>
        </w:rPr>
        <w:t>6）运行形成限位保护</w:t>
      </w:r>
    </w:p>
    <w:p w14:paraId="293CE5FD">
      <w:pPr>
        <w:rPr>
          <w:color w:val="000000"/>
        </w:rPr>
      </w:pPr>
      <w:r>
        <w:rPr>
          <w:rFonts w:hint="eastAsia"/>
          <w:color w:val="000000"/>
        </w:rPr>
        <w:t>起重臂设有小车形成限位器，可保证小车行走到到极限位置时切断电源，使主回路断电，从而达到减速和停车的目的，确保起重机的安全运行。</w:t>
      </w:r>
    </w:p>
    <w:p w14:paraId="1B1CAA2B">
      <w:pPr>
        <w:rPr>
          <w:color w:val="000000"/>
        </w:rPr>
      </w:pPr>
      <w:r>
        <w:rPr>
          <w:rFonts w:hint="eastAsia"/>
          <w:color w:val="000000"/>
        </w:rPr>
        <w:t>7）起重力矩限制保护</w:t>
      </w:r>
    </w:p>
    <w:p w14:paraId="3CD2F9F3">
      <w:pPr>
        <w:rPr>
          <w:color w:val="000000"/>
        </w:rPr>
      </w:pPr>
      <w:r>
        <w:rPr>
          <w:rFonts w:hint="eastAsia"/>
          <w:color w:val="000000"/>
        </w:rPr>
        <w:t>起升机构配置起重力矩限制器，具有报警功能，当载荷达到额定起重力矩的90％时，能发出提示性报警信号，当起重量超过额定起重力矩时，能自动切断起升动力源，并发出禁止性报警信号。</w:t>
      </w:r>
    </w:p>
    <w:p w14:paraId="36FFB9B2">
      <w:pPr>
        <w:rPr>
          <w:color w:val="000000"/>
        </w:rPr>
      </w:pPr>
      <w:r>
        <w:rPr>
          <w:rFonts w:hint="eastAsia"/>
          <w:color w:val="000000"/>
        </w:rPr>
        <w:t>8）回转限位保护</w:t>
      </w:r>
    </w:p>
    <w:p w14:paraId="7D2811A3">
      <w:pPr>
        <w:rPr>
          <w:color w:val="000000"/>
        </w:rPr>
      </w:pPr>
      <w:r>
        <w:rPr>
          <w:rFonts w:hint="eastAsia"/>
          <w:color w:val="000000"/>
        </w:rPr>
        <w:t>回转齿轮处设有回转限位保护器，当回转机构旋转到极限角度时切断电源，使主回路断电，从而达到减速和停车的目的，确保起重机的安全运行。</w:t>
      </w:r>
    </w:p>
    <w:p w14:paraId="7AE9EB14">
      <w:pPr>
        <w:rPr>
          <w:color w:val="000000"/>
        </w:rPr>
      </w:pPr>
      <w:r>
        <w:rPr>
          <w:rFonts w:hint="eastAsia"/>
          <w:color w:val="000000"/>
        </w:rPr>
        <w:t>9）门开关保护:</w:t>
      </w:r>
    </w:p>
    <w:p w14:paraId="45EE1A76">
      <w:pPr>
        <w:rPr>
          <w:color w:val="000000"/>
        </w:rPr>
      </w:pPr>
      <w:r>
        <w:rPr>
          <w:rFonts w:hint="eastAsia"/>
          <w:color w:val="000000"/>
        </w:rPr>
        <w:t>进入起重机的门和桥架斜梯门上均设有安全开关。当其中任意一个安全开关断开时，总接触器即自动断开，可避免误入大车走台造成事故。大车上车门设联系按钮。</w:t>
      </w:r>
    </w:p>
    <w:p w14:paraId="662EB515">
      <w:pPr>
        <w:rPr>
          <w:color w:val="000000"/>
        </w:rPr>
      </w:pPr>
      <w:r>
        <w:rPr>
          <w:rFonts w:hint="eastAsia"/>
          <w:color w:val="000000"/>
        </w:rPr>
        <w:t>10）控制柜,端子箱防护等级IP55，端子箱采用下部或侧部进线上部做防雨，</w:t>
      </w:r>
    </w:p>
    <w:p w14:paraId="66F8C059">
      <w:pPr>
        <w:rPr>
          <w:color w:val="000000"/>
        </w:rPr>
      </w:pPr>
      <w:r>
        <w:rPr>
          <w:rFonts w:hint="eastAsia"/>
          <w:color w:val="000000"/>
        </w:rPr>
        <w:t>槽盖加防脱落装置。</w:t>
      </w:r>
    </w:p>
    <w:p w14:paraId="66F36080">
      <w:pPr>
        <w:rPr>
          <w:color w:val="000000"/>
        </w:rPr>
      </w:pPr>
      <w:r>
        <w:rPr>
          <w:rFonts w:hint="eastAsia"/>
          <w:color w:val="000000"/>
        </w:rPr>
        <w:t>（3）操纵方式:</w:t>
      </w:r>
    </w:p>
    <w:p w14:paraId="1D153D91">
      <w:pPr>
        <w:rPr>
          <w:color w:val="000000"/>
        </w:rPr>
      </w:pPr>
      <w:r>
        <w:rPr>
          <w:rFonts w:hint="eastAsia"/>
          <w:color w:val="000000"/>
        </w:rPr>
        <w:t>1）司机室设有总电源和控制电源开关状态信号指示灯。</w:t>
      </w:r>
    </w:p>
    <w:p w14:paraId="161A60BB">
      <w:pPr>
        <w:rPr>
          <w:color w:val="000000"/>
        </w:rPr>
      </w:pPr>
      <w:r>
        <w:rPr>
          <w:rFonts w:hint="eastAsia"/>
          <w:color w:val="000000"/>
        </w:rPr>
        <w:t>2）司机室设置交流220V电源插座及三相380V电源，备接其它电气设备。</w:t>
      </w:r>
    </w:p>
    <w:p w14:paraId="59F066B0">
      <w:pPr>
        <w:rPr>
          <w:color w:val="000000"/>
        </w:rPr>
      </w:pPr>
      <w:r>
        <w:rPr>
          <w:rFonts w:hint="eastAsia"/>
          <w:color w:val="000000"/>
        </w:rPr>
        <w:t>3）司机室设有36V插座，以便于检修作业。</w:t>
      </w:r>
    </w:p>
    <w:p w14:paraId="55E02A85">
      <w:pPr>
        <w:rPr>
          <w:color w:val="000000"/>
        </w:rPr>
      </w:pPr>
      <w:r>
        <w:rPr>
          <w:rFonts w:hint="eastAsia"/>
          <w:color w:val="000000"/>
        </w:rPr>
        <w:t>4）司机室用交流220V/40W荧光灯具照明，以满足照度不低于200LX的要求。</w:t>
      </w:r>
    </w:p>
    <w:p w14:paraId="76BD4F00">
      <w:pPr>
        <w:rPr>
          <w:color w:val="000000"/>
        </w:rPr>
      </w:pPr>
      <w:r>
        <w:rPr>
          <w:rFonts w:hint="eastAsia"/>
          <w:color w:val="000000"/>
        </w:rPr>
        <w:t>（4）照明信号:</w:t>
      </w:r>
    </w:p>
    <w:p w14:paraId="6F7C82E0">
      <w:pPr>
        <w:rPr>
          <w:color w:val="000000"/>
        </w:rPr>
      </w:pPr>
      <w:r>
        <w:rPr>
          <w:rFonts w:hint="eastAsia"/>
          <w:color w:val="000000"/>
        </w:rPr>
        <w:t>1）照明及信号部分设有专用的隔离变压器。原边进线电压为交流380V，副</w:t>
      </w:r>
    </w:p>
    <w:p w14:paraId="16B07814">
      <w:pPr>
        <w:rPr>
          <w:color w:val="000000"/>
        </w:rPr>
      </w:pPr>
      <w:r>
        <w:rPr>
          <w:rFonts w:hint="eastAsia"/>
          <w:color w:val="000000"/>
        </w:rPr>
        <w:t>边出线电压为交流220V，交流36V。交流220V为起重机照明电源；交流36V为起重机安全信号和检修电源。照明变压器从主接触器上端引线，以保证主接触器断电时，照明回路不断电。</w:t>
      </w:r>
    </w:p>
    <w:p w14:paraId="5F6809CA">
      <w:pPr>
        <w:rPr>
          <w:color w:val="000000"/>
        </w:rPr>
      </w:pPr>
      <w:r>
        <w:rPr>
          <w:rFonts w:hint="eastAsia"/>
          <w:color w:val="000000"/>
        </w:rPr>
        <w:t>2）设有报警装置,开车时起提示作用，在司机室通过脚踏开关控制。</w:t>
      </w:r>
    </w:p>
    <w:p w14:paraId="7EA0C328">
      <w:pPr>
        <w:pStyle w:val="4"/>
        <w:tabs>
          <w:tab w:val="left" w:pos="0"/>
          <w:tab w:val="left" w:pos="630"/>
        </w:tabs>
        <w:rPr>
          <w:color w:val="000000"/>
        </w:rPr>
      </w:pPr>
      <w:bookmarkStart w:id="91" w:name="_Toc2591"/>
      <w:bookmarkStart w:id="92" w:name="_Toc2556"/>
      <w:bookmarkStart w:id="93" w:name="_Toc10409832"/>
      <w:r>
        <w:rPr>
          <w:rFonts w:hint="eastAsia"/>
          <w:color w:val="000000"/>
        </w:rPr>
        <w:t>螺栓连接要求</w:t>
      </w:r>
      <w:bookmarkEnd w:id="91"/>
      <w:bookmarkEnd w:id="92"/>
      <w:bookmarkEnd w:id="93"/>
    </w:p>
    <w:p w14:paraId="1E6E856D">
      <w:pPr>
        <w:rPr>
          <w:color w:val="000000"/>
        </w:rPr>
      </w:pPr>
      <w:r>
        <w:rPr>
          <w:rFonts w:hint="eastAsia"/>
          <w:color w:val="000000"/>
        </w:rPr>
        <w:t>（1）钢结构采用高强度螺栓完成构件的连接时，其连接接头应符合JGJ82的规定。</w:t>
      </w:r>
    </w:p>
    <w:p w14:paraId="125D1BCC">
      <w:pPr>
        <w:rPr>
          <w:color w:val="000000"/>
        </w:rPr>
      </w:pPr>
      <w:r>
        <w:rPr>
          <w:rFonts w:hint="eastAsia"/>
          <w:color w:val="000000"/>
        </w:rPr>
        <w:t>（2）大六角头高强度螺栓接头所用螺栓、螺母、垫圈及其技术要求应分别符合GB/T1228-2006、GB/T1229-2006、GB/T1230-2006、GB/T1231-2006的规定。</w:t>
      </w:r>
    </w:p>
    <w:bookmarkEnd w:id="84"/>
    <w:bookmarkEnd w:id="85"/>
    <w:bookmarkEnd w:id="86"/>
    <w:bookmarkEnd w:id="87"/>
    <w:p w14:paraId="36C8FE92">
      <w:pPr>
        <w:pStyle w:val="3"/>
        <w:rPr>
          <w:color w:val="000000"/>
        </w:rPr>
      </w:pPr>
      <w:bookmarkStart w:id="94" w:name="_Toc32173"/>
      <w:bookmarkStart w:id="95" w:name="_Toc10753"/>
      <w:bookmarkStart w:id="96" w:name="_Toc26449"/>
      <w:bookmarkStart w:id="97" w:name="_Toc19590"/>
      <w:r>
        <w:rPr>
          <w:rFonts w:hint="eastAsia"/>
          <w:color w:val="000000"/>
        </w:rPr>
        <w:t>验收程序</w:t>
      </w:r>
      <w:bookmarkEnd w:id="94"/>
      <w:bookmarkEnd w:id="95"/>
      <w:bookmarkEnd w:id="96"/>
      <w:bookmarkEnd w:id="97"/>
    </w:p>
    <w:p w14:paraId="48D78128">
      <w:pPr>
        <w:pStyle w:val="4"/>
        <w:tabs>
          <w:tab w:val="left" w:pos="0"/>
          <w:tab w:val="left" w:pos="630"/>
        </w:tabs>
        <w:rPr>
          <w:color w:val="000000"/>
        </w:rPr>
      </w:pPr>
      <w:bookmarkStart w:id="98" w:name="_Toc7558"/>
      <w:bookmarkStart w:id="99" w:name="_Toc1331"/>
      <w:r>
        <w:rPr>
          <w:rFonts w:hint="eastAsia"/>
          <w:color w:val="000000"/>
        </w:rPr>
        <w:t>材料、机械设备退场验收</w:t>
      </w:r>
      <w:bookmarkEnd w:id="98"/>
      <w:bookmarkEnd w:id="99"/>
    </w:p>
    <w:p w14:paraId="5B249415">
      <w:pPr>
        <w:widowControl w:val="0"/>
        <w:rPr>
          <w:color w:val="000000"/>
        </w:rPr>
      </w:pPr>
      <w:r>
        <w:rPr>
          <w:rFonts w:hint="eastAsia"/>
          <w:color w:val="000000"/>
        </w:rPr>
        <w:t>（1）机械设备退场前，由项目经理部物设部通知总监办进行现场验收，根据施工合同及方案要求，结合以往施工经验与现场实际情况，对设备进行查验。</w:t>
      </w:r>
    </w:p>
    <w:p w14:paraId="54D0A6F9">
      <w:pPr>
        <w:pStyle w:val="4"/>
        <w:widowControl w:val="0"/>
        <w:tabs>
          <w:tab w:val="left" w:pos="0"/>
          <w:tab w:val="left" w:pos="630"/>
        </w:tabs>
        <w:rPr>
          <w:color w:val="000000"/>
        </w:rPr>
      </w:pPr>
      <w:bookmarkStart w:id="100" w:name="_Toc27574"/>
      <w:bookmarkStart w:id="101" w:name="_Toc13463"/>
      <w:r>
        <w:rPr>
          <w:rFonts w:hint="eastAsia"/>
          <w:color w:val="000000"/>
        </w:rPr>
        <w:t>施工过程验收程序</w:t>
      </w:r>
      <w:bookmarkEnd w:id="100"/>
      <w:bookmarkEnd w:id="101"/>
    </w:p>
    <w:p w14:paraId="00D36562">
      <w:pPr>
        <w:widowControl w:val="0"/>
        <w:spacing w:line="240" w:lineRule="auto"/>
        <w:ind w:firstLine="0" w:firstLineChars="0"/>
        <w:jc w:val="center"/>
        <w:rPr>
          <w:color w:val="000000"/>
        </w:rPr>
      </w:pPr>
      <w:r>
        <w:rPr>
          <w:color w:val="000000"/>
        </w:rPr>
        <w:drawing>
          <wp:inline distT="0" distB="0" distL="114300" distR="114300">
            <wp:extent cx="3460115" cy="2946400"/>
            <wp:effectExtent l="0" t="0" r="6985" b="6350"/>
            <wp:docPr id="3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8"/>
                    <pic:cNvPicPr>
                      <a:picLocks noChangeAspect="1"/>
                    </pic:cNvPicPr>
                  </pic:nvPicPr>
                  <pic:blipFill>
                    <a:blip r:embed="rId65"/>
                    <a:stretch>
                      <a:fillRect/>
                    </a:stretch>
                  </pic:blipFill>
                  <pic:spPr>
                    <a:xfrm>
                      <a:off x="0" y="0"/>
                      <a:ext cx="3460115" cy="2946400"/>
                    </a:xfrm>
                    <a:prstGeom prst="rect">
                      <a:avLst/>
                    </a:prstGeom>
                    <a:noFill/>
                    <a:ln>
                      <a:noFill/>
                    </a:ln>
                  </pic:spPr>
                </pic:pic>
              </a:graphicData>
            </a:graphic>
          </wp:inline>
        </w:drawing>
      </w:r>
    </w:p>
    <w:p w14:paraId="326416C7">
      <w:pPr>
        <w:pStyle w:val="12"/>
        <w:widowControl w:val="0"/>
        <w:rPr>
          <w:color w:val="000000"/>
        </w:rPr>
      </w:pPr>
      <w:r>
        <w:rPr>
          <w:rFonts w:hint="eastAsia"/>
          <w:color w:val="000000"/>
        </w:rPr>
        <w:t>图9.2.2-</w:t>
      </w:r>
      <w:r>
        <w:rPr>
          <w:rFonts w:hint="eastAsia"/>
          <w:color w:val="000000"/>
        </w:rPr>
        <w:fldChar w:fldCharType="begin"/>
      </w:r>
      <w:r>
        <w:rPr>
          <w:rFonts w:hint="eastAsia"/>
          <w:color w:val="000000"/>
        </w:rPr>
        <w:instrText xml:space="preserve"> SEQ 图10- \* ARABIC </w:instrText>
      </w:r>
      <w:r>
        <w:rPr>
          <w:rFonts w:hint="eastAsia"/>
          <w:color w:val="000000"/>
        </w:rPr>
        <w:fldChar w:fldCharType="separate"/>
      </w:r>
      <w:r>
        <w:rPr>
          <w:rFonts w:hint="eastAsia"/>
          <w:color w:val="000000"/>
        </w:rPr>
        <w:t>1</w:t>
      </w:r>
      <w:r>
        <w:rPr>
          <w:rFonts w:hint="eastAsia"/>
          <w:color w:val="000000"/>
        </w:rPr>
        <w:fldChar w:fldCharType="end"/>
      </w:r>
      <w:r>
        <w:rPr>
          <w:rFonts w:hint="eastAsia"/>
          <w:color w:val="000000"/>
        </w:rPr>
        <w:t>施工过程验收程序</w:t>
      </w:r>
    </w:p>
    <w:p w14:paraId="044FD7AA">
      <w:pPr>
        <w:pStyle w:val="4"/>
        <w:tabs>
          <w:tab w:val="left" w:pos="0"/>
          <w:tab w:val="left" w:pos="630"/>
        </w:tabs>
        <w:rPr>
          <w:color w:val="000000"/>
        </w:rPr>
      </w:pPr>
      <w:bookmarkStart w:id="102" w:name="_Toc8373"/>
      <w:bookmarkStart w:id="103" w:name="_Toc20006"/>
      <w:r>
        <w:rPr>
          <w:color w:val="000000"/>
        </w:rPr>
        <w:t>作业中起吊、运行、</w:t>
      </w:r>
      <w:r>
        <w:rPr>
          <w:rFonts w:hint="eastAsia"/>
          <w:color w:val="000000"/>
        </w:rPr>
        <w:t>拆除</w:t>
      </w:r>
      <w:r>
        <w:rPr>
          <w:color w:val="000000"/>
        </w:rPr>
        <w:t>的设备与被吊物前期验收</w:t>
      </w:r>
      <w:bookmarkEnd w:id="102"/>
      <w:bookmarkEnd w:id="103"/>
    </w:p>
    <w:p w14:paraId="45552F82">
      <w:pPr>
        <w:pStyle w:val="110"/>
        <w:rPr>
          <w:rFonts w:hint="eastAsia"/>
          <w:color w:val="000000"/>
        </w:rPr>
      </w:pPr>
      <w:r>
        <w:rPr>
          <w:color w:val="000000"/>
        </w:rPr>
        <w:t>表</w:t>
      </w:r>
      <w:r>
        <w:rPr>
          <w:rFonts w:hint="eastAsia"/>
          <w:color w:val="000000"/>
        </w:rPr>
        <w:t>9.2.3-1作业中起吊、拆除的设备与被吊物前期验收</w:t>
      </w:r>
    </w:p>
    <w:tbl>
      <w:tblPr>
        <w:tblStyle w:val="28"/>
        <w:tblW w:w="0" w:type="auto"/>
        <w:jc w:val="center"/>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Layout w:type="fixed"/>
        <w:tblCellMar>
          <w:top w:w="0" w:type="dxa"/>
          <w:left w:w="108" w:type="dxa"/>
          <w:bottom w:w="0" w:type="dxa"/>
          <w:right w:w="108" w:type="dxa"/>
        </w:tblCellMar>
      </w:tblPr>
      <w:tblGrid>
        <w:gridCol w:w="683"/>
        <w:gridCol w:w="7821"/>
      </w:tblGrid>
      <w:tr w14:paraId="2E394A7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tblHeader/>
          <w:jc w:val="center"/>
        </w:trPr>
        <w:tc>
          <w:tcPr>
            <w:tcW w:w="683" w:type="dxa"/>
            <w:shd w:val="clear" w:color="auto" w:fill="DBEEF3"/>
            <w:noWrap/>
            <w:vAlign w:val="center"/>
          </w:tcPr>
          <w:p w14:paraId="05AB19CF">
            <w:pPr>
              <w:pStyle w:val="88"/>
              <w:spacing w:before="31" w:after="31"/>
              <w:rPr>
                <w:rFonts w:hint="default"/>
                <w:color w:val="000000"/>
              </w:rPr>
            </w:pPr>
            <w:r>
              <w:rPr>
                <w:color w:val="000000"/>
              </w:rPr>
              <w:t>序号</w:t>
            </w:r>
          </w:p>
        </w:tc>
        <w:tc>
          <w:tcPr>
            <w:tcW w:w="7821" w:type="dxa"/>
            <w:shd w:val="clear" w:color="auto" w:fill="DBEEF3"/>
            <w:noWrap/>
            <w:vAlign w:val="center"/>
          </w:tcPr>
          <w:p w14:paraId="0813BBAC">
            <w:pPr>
              <w:pStyle w:val="88"/>
              <w:spacing w:before="31" w:after="31"/>
              <w:rPr>
                <w:rFonts w:hint="default"/>
                <w:color w:val="000000"/>
              </w:rPr>
            </w:pPr>
            <w:r>
              <w:rPr>
                <w:color w:val="000000"/>
              </w:rPr>
              <w:t>内 容</w:t>
            </w:r>
          </w:p>
        </w:tc>
      </w:tr>
      <w:tr w14:paraId="283D482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72273320">
            <w:pPr>
              <w:pStyle w:val="88"/>
              <w:spacing w:before="31" w:after="31"/>
              <w:rPr>
                <w:rFonts w:hint="default"/>
                <w:color w:val="000000"/>
              </w:rPr>
            </w:pPr>
            <w:r>
              <w:rPr>
                <w:color w:val="000000"/>
              </w:rPr>
              <w:t>1</w:t>
            </w:r>
          </w:p>
        </w:tc>
        <w:tc>
          <w:tcPr>
            <w:tcW w:w="7821" w:type="dxa"/>
            <w:noWrap/>
            <w:vAlign w:val="center"/>
          </w:tcPr>
          <w:p w14:paraId="4CB5936F">
            <w:pPr>
              <w:pStyle w:val="88"/>
              <w:spacing w:before="31" w:after="31"/>
              <w:rPr>
                <w:rFonts w:hint="default"/>
                <w:color w:val="000000"/>
              </w:rPr>
            </w:pPr>
            <w:r>
              <w:rPr>
                <w:color w:val="000000"/>
              </w:rPr>
              <w:t>施工现场塔机的技术资料和安全资料必须齐全。</w:t>
            </w:r>
          </w:p>
        </w:tc>
      </w:tr>
      <w:tr w14:paraId="1E0F0830">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712F1395">
            <w:pPr>
              <w:pStyle w:val="88"/>
              <w:spacing w:before="31" w:after="31"/>
              <w:rPr>
                <w:rFonts w:hint="default"/>
                <w:color w:val="000000"/>
              </w:rPr>
            </w:pPr>
            <w:r>
              <w:rPr>
                <w:color w:val="000000"/>
              </w:rPr>
              <w:t>2</w:t>
            </w:r>
          </w:p>
        </w:tc>
        <w:tc>
          <w:tcPr>
            <w:tcW w:w="7821" w:type="dxa"/>
            <w:noWrap/>
            <w:vAlign w:val="center"/>
          </w:tcPr>
          <w:p w14:paraId="332E61F8">
            <w:pPr>
              <w:pStyle w:val="88"/>
              <w:spacing w:before="31" w:after="31"/>
              <w:rPr>
                <w:rFonts w:hint="default"/>
                <w:color w:val="000000"/>
              </w:rPr>
            </w:pPr>
            <w:r>
              <w:rPr>
                <w:color w:val="000000"/>
              </w:rPr>
              <w:t>塔机生产许可证、出厂合格证、使用说明书、设备 档案、运转及维修保养记录、安装方案、验收证书、检测检验报告。</w:t>
            </w:r>
          </w:p>
        </w:tc>
      </w:tr>
      <w:tr w14:paraId="4C72C0EA">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0BE5CED4">
            <w:pPr>
              <w:pStyle w:val="88"/>
              <w:spacing w:before="31" w:after="31"/>
              <w:rPr>
                <w:rFonts w:hint="default"/>
                <w:color w:val="000000"/>
              </w:rPr>
            </w:pPr>
            <w:r>
              <w:rPr>
                <w:color w:val="000000"/>
              </w:rPr>
              <w:t>3</w:t>
            </w:r>
          </w:p>
        </w:tc>
        <w:tc>
          <w:tcPr>
            <w:tcW w:w="7821" w:type="dxa"/>
            <w:noWrap/>
            <w:vAlign w:val="center"/>
          </w:tcPr>
          <w:p w14:paraId="63E4FD8C">
            <w:pPr>
              <w:pStyle w:val="88"/>
              <w:spacing w:before="31" w:after="31"/>
              <w:rPr>
                <w:rFonts w:hint="default"/>
                <w:color w:val="000000"/>
              </w:rPr>
            </w:pPr>
            <w:r>
              <w:rPr>
                <w:color w:val="000000"/>
              </w:rPr>
              <w:t>拆除队伍资质证书、设备拆除人员、指挥人员、操作人员及其他特种作业人员的操作证和安全上岗证。</w:t>
            </w:r>
          </w:p>
        </w:tc>
      </w:tr>
      <w:tr w14:paraId="4E41811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4B0CDBCB">
            <w:pPr>
              <w:pStyle w:val="88"/>
              <w:spacing w:before="31" w:after="31"/>
              <w:rPr>
                <w:rFonts w:hint="default"/>
                <w:color w:val="000000"/>
              </w:rPr>
            </w:pPr>
            <w:r>
              <w:rPr>
                <w:color w:val="000000"/>
              </w:rPr>
              <w:t>4</w:t>
            </w:r>
          </w:p>
        </w:tc>
        <w:tc>
          <w:tcPr>
            <w:tcW w:w="7821" w:type="dxa"/>
            <w:noWrap/>
            <w:vAlign w:val="center"/>
          </w:tcPr>
          <w:p w14:paraId="0C50C7CF">
            <w:pPr>
              <w:pStyle w:val="88"/>
              <w:spacing w:before="31" w:after="31"/>
              <w:rPr>
                <w:rFonts w:hint="default"/>
                <w:color w:val="000000"/>
              </w:rPr>
            </w:pPr>
            <w:r>
              <w:rPr>
                <w:color w:val="000000"/>
              </w:rPr>
              <w:t>塔机处悬挂限载标志牌、安全警示牌、操作规程牌、验收合格牌、定人定机牌。</w:t>
            </w:r>
          </w:p>
        </w:tc>
      </w:tr>
      <w:tr w14:paraId="4DB24CCF">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39299CAC">
            <w:pPr>
              <w:pStyle w:val="88"/>
              <w:spacing w:before="31" w:after="31"/>
              <w:rPr>
                <w:rFonts w:hint="default"/>
                <w:color w:val="000000"/>
              </w:rPr>
            </w:pPr>
            <w:r>
              <w:rPr>
                <w:color w:val="000000"/>
              </w:rPr>
              <w:t>5</w:t>
            </w:r>
          </w:p>
        </w:tc>
        <w:tc>
          <w:tcPr>
            <w:tcW w:w="7821" w:type="dxa"/>
            <w:noWrap/>
            <w:vAlign w:val="center"/>
          </w:tcPr>
          <w:p w14:paraId="76122F16">
            <w:pPr>
              <w:pStyle w:val="88"/>
              <w:spacing w:before="31" w:after="31"/>
              <w:rPr>
                <w:rFonts w:hint="default"/>
                <w:color w:val="000000"/>
              </w:rPr>
            </w:pPr>
            <w:r>
              <w:rPr>
                <w:color w:val="000000"/>
              </w:rPr>
              <w:t>起重吊装及起重机械设备、设施拆除，过程中各工序、节点的验收标准和验收条件</w:t>
            </w:r>
          </w:p>
        </w:tc>
      </w:tr>
      <w:tr w14:paraId="316C205E">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034AAB46">
            <w:pPr>
              <w:pStyle w:val="88"/>
              <w:spacing w:before="31" w:after="31"/>
              <w:rPr>
                <w:rFonts w:hint="default"/>
                <w:color w:val="000000"/>
              </w:rPr>
            </w:pPr>
            <w:r>
              <w:rPr>
                <w:color w:val="000000"/>
              </w:rPr>
              <w:t>6</w:t>
            </w:r>
          </w:p>
        </w:tc>
        <w:tc>
          <w:tcPr>
            <w:tcW w:w="7821" w:type="dxa"/>
            <w:noWrap/>
            <w:vAlign w:val="center"/>
          </w:tcPr>
          <w:p w14:paraId="771747EE">
            <w:pPr>
              <w:pStyle w:val="88"/>
              <w:spacing w:before="31" w:after="31"/>
              <w:rPr>
                <w:rFonts w:hint="default"/>
                <w:color w:val="000000"/>
              </w:rPr>
            </w:pPr>
            <w:r>
              <w:rPr>
                <w:color w:val="000000"/>
              </w:rPr>
              <w:t>退场材料、机械设备、设施验收标准及验收表</w:t>
            </w:r>
          </w:p>
        </w:tc>
      </w:tr>
      <w:tr w14:paraId="78AA871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54123B29">
            <w:pPr>
              <w:pStyle w:val="88"/>
              <w:spacing w:before="31" w:after="31"/>
              <w:rPr>
                <w:rFonts w:hint="default"/>
                <w:color w:val="000000"/>
              </w:rPr>
            </w:pPr>
            <w:r>
              <w:rPr>
                <w:color w:val="000000"/>
              </w:rPr>
              <w:t>7</w:t>
            </w:r>
          </w:p>
        </w:tc>
        <w:tc>
          <w:tcPr>
            <w:tcW w:w="7821" w:type="dxa"/>
            <w:noWrap/>
            <w:vAlign w:val="center"/>
          </w:tcPr>
          <w:p w14:paraId="728D237E">
            <w:pPr>
              <w:pStyle w:val="88"/>
              <w:spacing w:before="31" w:after="31"/>
              <w:rPr>
                <w:rFonts w:hint="default"/>
                <w:color w:val="000000"/>
              </w:rPr>
            </w:pPr>
            <w:r>
              <w:rPr>
                <w:color w:val="000000"/>
              </w:rPr>
              <w:t>吊装与拆卸作业全过程安全技术控制的关键环节验收</w:t>
            </w:r>
          </w:p>
        </w:tc>
      </w:tr>
      <w:tr w14:paraId="16B0396E">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5C87531B">
            <w:pPr>
              <w:pStyle w:val="88"/>
              <w:spacing w:before="31" w:after="31"/>
              <w:rPr>
                <w:rFonts w:hint="default"/>
                <w:color w:val="000000"/>
              </w:rPr>
            </w:pPr>
            <w:r>
              <w:rPr>
                <w:color w:val="000000"/>
              </w:rPr>
              <w:t>8</w:t>
            </w:r>
          </w:p>
        </w:tc>
        <w:tc>
          <w:tcPr>
            <w:tcW w:w="7821" w:type="dxa"/>
            <w:noWrap/>
            <w:vAlign w:val="center"/>
          </w:tcPr>
          <w:p w14:paraId="7991F2A9">
            <w:pPr>
              <w:pStyle w:val="88"/>
              <w:spacing w:before="31" w:after="31"/>
              <w:rPr>
                <w:rFonts w:hint="default"/>
                <w:color w:val="000000"/>
              </w:rPr>
            </w:pPr>
            <w:r>
              <w:rPr>
                <w:color w:val="000000"/>
              </w:rPr>
              <w:t>汽车吊摆放位置基础承载力满足要求</w:t>
            </w:r>
          </w:p>
        </w:tc>
      </w:tr>
      <w:tr w14:paraId="6D3BF6D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18720417">
            <w:pPr>
              <w:pStyle w:val="88"/>
              <w:spacing w:before="31" w:after="31"/>
              <w:rPr>
                <w:rFonts w:hint="default"/>
                <w:color w:val="000000"/>
              </w:rPr>
            </w:pPr>
            <w:r>
              <w:rPr>
                <w:color w:val="000000"/>
              </w:rPr>
              <w:t>9</w:t>
            </w:r>
          </w:p>
        </w:tc>
        <w:tc>
          <w:tcPr>
            <w:tcW w:w="7821" w:type="dxa"/>
            <w:noWrap/>
            <w:vAlign w:val="center"/>
          </w:tcPr>
          <w:p w14:paraId="0756D890">
            <w:pPr>
              <w:pStyle w:val="88"/>
              <w:spacing w:before="31" w:after="31"/>
              <w:rPr>
                <w:rFonts w:hint="default"/>
                <w:color w:val="000000"/>
              </w:rPr>
            </w:pPr>
            <w:r>
              <w:rPr>
                <w:color w:val="000000"/>
              </w:rPr>
              <w:t>汽车吊起重性能满足要求</w:t>
            </w:r>
          </w:p>
        </w:tc>
      </w:tr>
      <w:tr w14:paraId="1E1977F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018C6823">
            <w:pPr>
              <w:pStyle w:val="88"/>
              <w:spacing w:before="31" w:after="31"/>
              <w:rPr>
                <w:rFonts w:hint="default"/>
                <w:color w:val="000000"/>
              </w:rPr>
            </w:pPr>
            <w:r>
              <w:rPr>
                <w:color w:val="000000"/>
              </w:rPr>
              <w:t>10</w:t>
            </w:r>
          </w:p>
        </w:tc>
        <w:tc>
          <w:tcPr>
            <w:tcW w:w="7821" w:type="dxa"/>
            <w:noWrap/>
            <w:vAlign w:val="center"/>
          </w:tcPr>
          <w:p w14:paraId="4B01CA1E">
            <w:pPr>
              <w:pStyle w:val="88"/>
              <w:spacing w:before="31" w:after="31"/>
              <w:rPr>
                <w:rFonts w:hint="default"/>
                <w:color w:val="000000"/>
              </w:rPr>
            </w:pPr>
            <w:r>
              <w:rPr>
                <w:color w:val="000000"/>
              </w:rPr>
              <w:t>吊、索、卡、具完好，被吊物重心已确认</w:t>
            </w:r>
          </w:p>
        </w:tc>
      </w:tr>
      <w:tr w14:paraId="5D0C441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1393C188">
            <w:pPr>
              <w:pStyle w:val="88"/>
              <w:spacing w:before="31" w:after="31"/>
              <w:rPr>
                <w:rFonts w:hint="default"/>
                <w:color w:val="000000"/>
              </w:rPr>
            </w:pPr>
            <w:r>
              <w:rPr>
                <w:color w:val="000000"/>
              </w:rPr>
              <w:t>11</w:t>
            </w:r>
          </w:p>
        </w:tc>
        <w:tc>
          <w:tcPr>
            <w:tcW w:w="7821" w:type="dxa"/>
            <w:noWrap/>
            <w:vAlign w:val="center"/>
          </w:tcPr>
          <w:p w14:paraId="4289AB62">
            <w:pPr>
              <w:pStyle w:val="88"/>
              <w:spacing w:before="31" w:after="31"/>
              <w:rPr>
                <w:rFonts w:hint="default"/>
                <w:color w:val="000000"/>
              </w:rPr>
            </w:pPr>
            <w:r>
              <w:rPr>
                <w:color w:val="000000"/>
              </w:rPr>
              <w:t>各结构件焊缝强度满足设计要求</w:t>
            </w:r>
          </w:p>
        </w:tc>
      </w:tr>
      <w:tr w14:paraId="272DED92">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3C4FEE3C">
            <w:pPr>
              <w:pStyle w:val="88"/>
              <w:spacing w:before="31" w:after="31"/>
              <w:rPr>
                <w:rFonts w:hint="default"/>
                <w:color w:val="000000"/>
              </w:rPr>
            </w:pPr>
            <w:r>
              <w:rPr>
                <w:color w:val="000000"/>
              </w:rPr>
              <w:t>12</w:t>
            </w:r>
          </w:p>
        </w:tc>
        <w:tc>
          <w:tcPr>
            <w:tcW w:w="7821" w:type="dxa"/>
            <w:noWrap/>
            <w:vAlign w:val="center"/>
          </w:tcPr>
          <w:p w14:paraId="2755D913">
            <w:pPr>
              <w:pStyle w:val="88"/>
              <w:spacing w:before="31" w:after="31"/>
              <w:rPr>
                <w:rFonts w:hint="default"/>
                <w:color w:val="000000"/>
              </w:rPr>
            </w:pPr>
            <w:r>
              <w:rPr>
                <w:color w:val="000000"/>
              </w:rPr>
              <w:t>吊运轨迹正确，信号指挥方式确定</w:t>
            </w:r>
          </w:p>
        </w:tc>
      </w:tr>
    </w:tbl>
    <w:p w14:paraId="2FE89D1A">
      <w:pPr>
        <w:pStyle w:val="110"/>
        <w:rPr>
          <w:color w:val="000000"/>
        </w:rPr>
      </w:pPr>
      <w:r>
        <w:rPr>
          <w:color w:val="000000"/>
        </w:rPr>
        <w:t>表</w:t>
      </w:r>
      <w:r>
        <w:rPr>
          <w:rFonts w:hint="eastAsia"/>
          <w:color w:val="000000"/>
        </w:rPr>
        <w:t>9.3-2</w:t>
      </w:r>
      <w:r>
        <w:rPr>
          <w:color w:val="000000"/>
        </w:rPr>
        <w:t>塔式起重机</w:t>
      </w:r>
      <w:r>
        <w:rPr>
          <w:rFonts w:hint="eastAsia"/>
          <w:color w:val="000000"/>
        </w:rPr>
        <w:t>拆除</w:t>
      </w:r>
      <w:r>
        <w:rPr>
          <w:color w:val="000000"/>
        </w:rPr>
        <w:t>整体验收表</w:t>
      </w:r>
    </w:p>
    <w:tbl>
      <w:tblPr>
        <w:tblStyle w:val="28"/>
        <w:tblW w:w="0" w:type="auto"/>
        <w:jc w:val="center"/>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Layout w:type="fixed"/>
        <w:tblCellMar>
          <w:top w:w="0" w:type="dxa"/>
          <w:left w:w="108" w:type="dxa"/>
          <w:bottom w:w="0" w:type="dxa"/>
          <w:right w:w="108" w:type="dxa"/>
        </w:tblCellMar>
      </w:tblPr>
      <w:tblGrid>
        <w:gridCol w:w="721"/>
        <w:gridCol w:w="513"/>
        <w:gridCol w:w="6041"/>
        <w:gridCol w:w="1229"/>
      </w:tblGrid>
      <w:tr w14:paraId="27777B29">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tblHeader/>
          <w:jc w:val="center"/>
        </w:trPr>
        <w:tc>
          <w:tcPr>
            <w:tcW w:w="721" w:type="dxa"/>
            <w:shd w:val="clear" w:color="auto" w:fill="DBEEF3"/>
            <w:noWrap/>
            <w:vAlign w:val="center"/>
          </w:tcPr>
          <w:p w14:paraId="1203AC1A">
            <w:pPr>
              <w:pStyle w:val="88"/>
              <w:spacing w:before="31" w:after="31"/>
              <w:rPr>
                <w:rFonts w:hint="default"/>
                <w:color w:val="000000"/>
              </w:rPr>
            </w:pPr>
            <w:r>
              <w:rPr>
                <w:rFonts w:hint="default"/>
                <w:color w:val="000000"/>
              </w:rPr>
              <w:t>验收项目</w:t>
            </w:r>
          </w:p>
        </w:tc>
        <w:tc>
          <w:tcPr>
            <w:tcW w:w="513" w:type="dxa"/>
            <w:shd w:val="clear" w:color="auto" w:fill="DBEEF3"/>
            <w:noWrap/>
            <w:vAlign w:val="center"/>
          </w:tcPr>
          <w:p w14:paraId="4AFA2084">
            <w:pPr>
              <w:pStyle w:val="88"/>
              <w:spacing w:before="31" w:after="31"/>
              <w:rPr>
                <w:rFonts w:hint="default"/>
                <w:color w:val="000000"/>
              </w:rPr>
            </w:pPr>
            <w:r>
              <w:rPr>
                <w:rFonts w:hint="default"/>
                <w:color w:val="000000"/>
              </w:rPr>
              <w:t>序号</w:t>
            </w:r>
          </w:p>
        </w:tc>
        <w:tc>
          <w:tcPr>
            <w:tcW w:w="6041" w:type="dxa"/>
            <w:shd w:val="clear" w:color="auto" w:fill="DBEEF3"/>
            <w:noWrap/>
            <w:vAlign w:val="center"/>
          </w:tcPr>
          <w:p w14:paraId="78138225">
            <w:pPr>
              <w:pStyle w:val="88"/>
              <w:spacing w:before="31" w:after="31"/>
              <w:rPr>
                <w:rFonts w:hint="default"/>
                <w:color w:val="000000"/>
              </w:rPr>
            </w:pPr>
            <w:r>
              <w:rPr>
                <w:rFonts w:hint="default"/>
                <w:color w:val="000000"/>
              </w:rPr>
              <w:t>安全技术要求</w:t>
            </w:r>
          </w:p>
        </w:tc>
        <w:tc>
          <w:tcPr>
            <w:tcW w:w="1229" w:type="dxa"/>
            <w:shd w:val="clear" w:color="auto" w:fill="DBEEF3"/>
            <w:noWrap/>
            <w:vAlign w:val="center"/>
          </w:tcPr>
          <w:p w14:paraId="5C89D102">
            <w:pPr>
              <w:pStyle w:val="88"/>
              <w:spacing w:before="31" w:after="31"/>
              <w:rPr>
                <w:rFonts w:hint="default"/>
                <w:color w:val="000000"/>
              </w:rPr>
            </w:pPr>
            <w:r>
              <w:rPr>
                <w:rFonts w:hint="default"/>
                <w:color w:val="000000"/>
              </w:rPr>
              <w:t>验收结果</w:t>
            </w:r>
          </w:p>
        </w:tc>
      </w:tr>
      <w:tr w14:paraId="51F027AA">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4C5C9615">
            <w:pPr>
              <w:pStyle w:val="88"/>
              <w:spacing w:before="31" w:after="31"/>
              <w:rPr>
                <w:rFonts w:hint="default"/>
                <w:color w:val="000000"/>
              </w:rPr>
            </w:pPr>
          </w:p>
        </w:tc>
        <w:tc>
          <w:tcPr>
            <w:tcW w:w="513" w:type="dxa"/>
            <w:noWrap/>
            <w:vAlign w:val="center"/>
          </w:tcPr>
          <w:p w14:paraId="38E66E1C">
            <w:pPr>
              <w:pStyle w:val="88"/>
              <w:numPr>
                <w:ilvl w:val="0"/>
                <w:numId w:val="9"/>
              </w:numPr>
              <w:tabs>
                <w:tab w:val="clear" w:pos="0"/>
              </w:tabs>
              <w:spacing w:before="31" w:after="31"/>
              <w:rPr>
                <w:rFonts w:hint="default"/>
                <w:color w:val="000000"/>
              </w:rPr>
            </w:pPr>
          </w:p>
        </w:tc>
        <w:tc>
          <w:tcPr>
            <w:tcW w:w="6041" w:type="dxa"/>
            <w:noWrap/>
            <w:vAlign w:val="center"/>
          </w:tcPr>
          <w:p w14:paraId="75134425">
            <w:pPr>
              <w:pStyle w:val="88"/>
              <w:spacing w:before="31" w:after="31"/>
              <w:rPr>
                <w:rFonts w:hint="default"/>
                <w:color w:val="000000"/>
              </w:rPr>
            </w:pPr>
            <w:r>
              <w:rPr>
                <w:color w:val="000000"/>
              </w:rPr>
              <w:t>拆除</w:t>
            </w:r>
            <w:r>
              <w:rPr>
                <w:rFonts w:hint="default"/>
                <w:color w:val="000000"/>
              </w:rPr>
              <w:t xml:space="preserve">方案、安全交底记录应齐全 </w:t>
            </w:r>
          </w:p>
        </w:tc>
        <w:tc>
          <w:tcPr>
            <w:tcW w:w="1229" w:type="dxa"/>
            <w:noWrap/>
            <w:vAlign w:val="center"/>
          </w:tcPr>
          <w:p w14:paraId="109FDE02">
            <w:pPr>
              <w:pStyle w:val="88"/>
              <w:spacing w:before="31" w:after="31"/>
              <w:rPr>
                <w:rFonts w:hint="default"/>
                <w:color w:val="000000"/>
              </w:rPr>
            </w:pPr>
          </w:p>
        </w:tc>
      </w:tr>
      <w:tr w14:paraId="4F82A2D5">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3626AE43">
            <w:pPr>
              <w:pStyle w:val="88"/>
              <w:spacing w:before="31" w:after="31"/>
              <w:rPr>
                <w:rFonts w:hint="default"/>
                <w:color w:val="000000"/>
              </w:rPr>
            </w:pPr>
          </w:p>
        </w:tc>
        <w:tc>
          <w:tcPr>
            <w:tcW w:w="513" w:type="dxa"/>
            <w:noWrap/>
            <w:vAlign w:val="center"/>
          </w:tcPr>
          <w:p w14:paraId="7EAE721A">
            <w:pPr>
              <w:pStyle w:val="88"/>
              <w:numPr>
                <w:ilvl w:val="0"/>
                <w:numId w:val="9"/>
              </w:numPr>
              <w:tabs>
                <w:tab w:val="clear" w:pos="0"/>
              </w:tabs>
              <w:spacing w:before="31" w:after="31"/>
              <w:rPr>
                <w:rFonts w:hint="default"/>
                <w:color w:val="000000"/>
              </w:rPr>
            </w:pPr>
          </w:p>
        </w:tc>
        <w:tc>
          <w:tcPr>
            <w:tcW w:w="6041" w:type="dxa"/>
            <w:noWrap/>
            <w:vAlign w:val="center"/>
          </w:tcPr>
          <w:p w14:paraId="5A248651">
            <w:pPr>
              <w:pStyle w:val="88"/>
              <w:spacing w:before="31" w:after="31"/>
              <w:rPr>
                <w:rFonts w:hint="default"/>
                <w:color w:val="000000"/>
              </w:rPr>
            </w:pPr>
            <w:r>
              <w:rPr>
                <w:rFonts w:hint="default"/>
                <w:color w:val="000000"/>
              </w:rPr>
              <w:t>转场保养作业单及</w:t>
            </w:r>
            <w:r>
              <w:rPr>
                <w:color w:val="000000"/>
              </w:rPr>
              <w:t>退场</w:t>
            </w:r>
            <w:r>
              <w:rPr>
                <w:rFonts w:hint="default"/>
                <w:color w:val="000000"/>
              </w:rPr>
              <w:t>验收记录应齐全</w:t>
            </w:r>
          </w:p>
        </w:tc>
        <w:tc>
          <w:tcPr>
            <w:tcW w:w="1229" w:type="dxa"/>
            <w:noWrap/>
            <w:vAlign w:val="center"/>
          </w:tcPr>
          <w:p w14:paraId="2347507C">
            <w:pPr>
              <w:pStyle w:val="88"/>
              <w:spacing w:before="31" w:after="31"/>
              <w:rPr>
                <w:rFonts w:hint="default"/>
                <w:color w:val="000000"/>
              </w:rPr>
            </w:pPr>
          </w:p>
        </w:tc>
      </w:tr>
      <w:tr w14:paraId="030D50B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2AC32A90">
            <w:pPr>
              <w:pStyle w:val="88"/>
              <w:spacing w:before="31" w:after="31"/>
              <w:rPr>
                <w:rFonts w:hint="default"/>
                <w:color w:val="000000"/>
              </w:rPr>
            </w:pPr>
            <w:r>
              <w:rPr>
                <w:rFonts w:hint="default"/>
                <w:color w:val="000000"/>
              </w:rPr>
              <w:t>标识</w:t>
            </w:r>
          </w:p>
          <w:p w14:paraId="2067E3E5">
            <w:pPr>
              <w:pStyle w:val="88"/>
              <w:spacing w:before="31" w:after="31"/>
              <w:rPr>
                <w:rFonts w:hint="default"/>
                <w:color w:val="000000"/>
              </w:rPr>
            </w:pPr>
            <w:r>
              <w:rPr>
                <w:rFonts w:hint="default"/>
                <w:color w:val="000000"/>
              </w:rPr>
              <w:t>与环境</w:t>
            </w:r>
          </w:p>
        </w:tc>
        <w:tc>
          <w:tcPr>
            <w:tcW w:w="513" w:type="dxa"/>
            <w:noWrap/>
            <w:vAlign w:val="center"/>
          </w:tcPr>
          <w:p w14:paraId="534A8F1C">
            <w:pPr>
              <w:pStyle w:val="88"/>
              <w:numPr>
                <w:ilvl w:val="0"/>
                <w:numId w:val="9"/>
              </w:numPr>
              <w:tabs>
                <w:tab w:val="clear" w:pos="0"/>
              </w:tabs>
              <w:spacing w:before="31" w:after="31"/>
              <w:rPr>
                <w:rFonts w:hint="default"/>
                <w:color w:val="000000"/>
              </w:rPr>
            </w:pPr>
          </w:p>
        </w:tc>
        <w:tc>
          <w:tcPr>
            <w:tcW w:w="6041" w:type="dxa"/>
            <w:noWrap/>
            <w:vAlign w:val="center"/>
          </w:tcPr>
          <w:p w14:paraId="70B6C2FF">
            <w:pPr>
              <w:pStyle w:val="88"/>
              <w:spacing w:before="31" w:after="31"/>
              <w:rPr>
                <w:rFonts w:hint="default"/>
                <w:color w:val="000000"/>
              </w:rPr>
            </w:pPr>
            <w:r>
              <w:rPr>
                <w:rFonts w:hint="default"/>
                <w:color w:val="000000"/>
              </w:rPr>
              <w:t>使用登记牌、安全操作规程牌和产品标牌齐全，悬挂醒目</w:t>
            </w:r>
          </w:p>
        </w:tc>
        <w:tc>
          <w:tcPr>
            <w:tcW w:w="1229" w:type="dxa"/>
            <w:noWrap/>
            <w:vAlign w:val="center"/>
          </w:tcPr>
          <w:p w14:paraId="39CB5267">
            <w:pPr>
              <w:pStyle w:val="88"/>
              <w:spacing w:before="31" w:after="31"/>
              <w:rPr>
                <w:rFonts w:hint="default"/>
                <w:color w:val="000000"/>
              </w:rPr>
            </w:pPr>
          </w:p>
        </w:tc>
      </w:tr>
      <w:tr w14:paraId="686E06EE">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1848F648">
            <w:pPr>
              <w:pStyle w:val="88"/>
              <w:spacing w:before="31" w:after="31"/>
              <w:rPr>
                <w:rFonts w:hint="default"/>
                <w:color w:val="000000"/>
              </w:rPr>
            </w:pPr>
          </w:p>
        </w:tc>
        <w:tc>
          <w:tcPr>
            <w:tcW w:w="513" w:type="dxa"/>
            <w:noWrap/>
            <w:vAlign w:val="center"/>
          </w:tcPr>
          <w:p w14:paraId="5FD75320">
            <w:pPr>
              <w:pStyle w:val="88"/>
              <w:numPr>
                <w:ilvl w:val="0"/>
                <w:numId w:val="9"/>
              </w:numPr>
              <w:tabs>
                <w:tab w:val="clear" w:pos="0"/>
              </w:tabs>
              <w:spacing w:before="31" w:after="31"/>
              <w:rPr>
                <w:rFonts w:hint="default"/>
                <w:color w:val="000000"/>
              </w:rPr>
            </w:pPr>
          </w:p>
        </w:tc>
        <w:tc>
          <w:tcPr>
            <w:tcW w:w="6041" w:type="dxa"/>
            <w:noWrap/>
            <w:vAlign w:val="center"/>
          </w:tcPr>
          <w:p w14:paraId="06DA49BC">
            <w:pPr>
              <w:pStyle w:val="88"/>
              <w:spacing w:before="31" w:after="31"/>
              <w:rPr>
                <w:rFonts w:hint="default"/>
                <w:color w:val="000000"/>
              </w:rPr>
            </w:pPr>
            <w:r>
              <w:rPr>
                <w:rFonts w:hint="default"/>
                <w:color w:val="000000"/>
              </w:rPr>
              <w:t>塔式起重机尾部与建（构）筑物及施工设施之间的距离≥0.6m</w:t>
            </w:r>
          </w:p>
        </w:tc>
        <w:tc>
          <w:tcPr>
            <w:tcW w:w="1229" w:type="dxa"/>
            <w:noWrap/>
            <w:vAlign w:val="center"/>
          </w:tcPr>
          <w:p w14:paraId="3ED5A3C0">
            <w:pPr>
              <w:pStyle w:val="88"/>
              <w:spacing w:before="31" w:after="31"/>
              <w:rPr>
                <w:rFonts w:hint="default"/>
                <w:color w:val="000000"/>
              </w:rPr>
            </w:pPr>
          </w:p>
        </w:tc>
      </w:tr>
      <w:tr w14:paraId="39DE02A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53F2FE2E">
            <w:pPr>
              <w:pStyle w:val="88"/>
              <w:spacing w:before="31" w:after="31"/>
              <w:rPr>
                <w:rFonts w:hint="default"/>
                <w:color w:val="000000"/>
              </w:rPr>
            </w:pPr>
          </w:p>
        </w:tc>
        <w:tc>
          <w:tcPr>
            <w:tcW w:w="513" w:type="dxa"/>
            <w:noWrap/>
            <w:vAlign w:val="center"/>
          </w:tcPr>
          <w:p w14:paraId="7E8D3824">
            <w:pPr>
              <w:pStyle w:val="88"/>
              <w:numPr>
                <w:ilvl w:val="0"/>
                <w:numId w:val="9"/>
              </w:numPr>
              <w:tabs>
                <w:tab w:val="clear" w:pos="0"/>
              </w:tabs>
              <w:spacing w:before="31" w:after="31"/>
              <w:rPr>
                <w:rFonts w:hint="default"/>
                <w:color w:val="000000"/>
              </w:rPr>
            </w:pPr>
          </w:p>
        </w:tc>
        <w:tc>
          <w:tcPr>
            <w:tcW w:w="6041" w:type="dxa"/>
            <w:noWrap/>
            <w:vAlign w:val="center"/>
          </w:tcPr>
          <w:p w14:paraId="38AC9CCD">
            <w:pPr>
              <w:pStyle w:val="88"/>
              <w:spacing w:before="31" w:after="31"/>
              <w:rPr>
                <w:rFonts w:hint="default"/>
                <w:color w:val="000000"/>
              </w:rPr>
            </w:pPr>
            <w:r>
              <w:rPr>
                <w:rFonts w:hint="default"/>
                <w:color w:val="000000"/>
              </w:rPr>
              <w:t>多塔作业时，低位塔起重臂端部与高位塔塔身之间的水平距离≥2m；高位塔的最低位置部件与低位塔最高位置部件之间的垂直距离≥2m</w:t>
            </w:r>
          </w:p>
        </w:tc>
        <w:tc>
          <w:tcPr>
            <w:tcW w:w="1229" w:type="dxa"/>
            <w:noWrap/>
            <w:vAlign w:val="center"/>
          </w:tcPr>
          <w:p w14:paraId="49235E8D">
            <w:pPr>
              <w:pStyle w:val="88"/>
              <w:spacing w:before="31" w:after="31"/>
              <w:rPr>
                <w:rFonts w:hint="default"/>
                <w:color w:val="000000"/>
              </w:rPr>
            </w:pPr>
          </w:p>
        </w:tc>
      </w:tr>
      <w:tr w14:paraId="60B9238F">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0F06B50F">
            <w:pPr>
              <w:pStyle w:val="88"/>
              <w:spacing w:before="31" w:after="31"/>
              <w:rPr>
                <w:rFonts w:hint="default"/>
                <w:color w:val="000000"/>
              </w:rPr>
            </w:pPr>
          </w:p>
        </w:tc>
        <w:tc>
          <w:tcPr>
            <w:tcW w:w="513" w:type="dxa"/>
            <w:noWrap/>
            <w:vAlign w:val="center"/>
          </w:tcPr>
          <w:p w14:paraId="089C1BD2">
            <w:pPr>
              <w:pStyle w:val="88"/>
              <w:numPr>
                <w:ilvl w:val="0"/>
                <w:numId w:val="9"/>
              </w:numPr>
              <w:tabs>
                <w:tab w:val="clear" w:pos="0"/>
              </w:tabs>
              <w:spacing w:before="31" w:after="31"/>
              <w:rPr>
                <w:rFonts w:hint="default"/>
                <w:color w:val="000000"/>
              </w:rPr>
            </w:pPr>
          </w:p>
        </w:tc>
        <w:tc>
          <w:tcPr>
            <w:tcW w:w="6041" w:type="dxa"/>
            <w:noWrap/>
            <w:vAlign w:val="center"/>
          </w:tcPr>
          <w:p w14:paraId="5079CCF7">
            <w:pPr>
              <w:pStyle w:val="88"/>
              <w:spacing w:before="31" w:after="31"/>
              <w:rPr>
                <w:rFonts w:hint="default"/>
                <w:color w:val="000000"/>
              </w:rPr>
            </w:pPr>
            <w:r>
              <w:rPr>
                <w:rFonts w:hint="default"/>
                <w:color w:val="000000"/>
              </w:rPr>
              <w:t>塔式起重机与外电线路的距离应符合JGJ46—20</w:t>
            </w:r>
            <w:r>
              <w:rPr>
                <w:rFonts w:hint="eastAsia"/>
                <w:color w:val="000000"/>
                <w:lang w:val="en-US" w:eastAsia="zh-CN"/>
              </w:rPr>
              <w:t>24</w:t>
            </w:r>
            <w:r>
              <w:rPr>
                <w:rFonts w:hint="default"/>
                <w:color w:val="000000"/>
              </w:rPr>
              <w:t>的规定</w:t>
            </w:r>
          </w:p>
        </w:tc>
        <w:tc>
          <w:tcPr>
            <w:tcW w:w="1229" w:type="dxa"/>
            <w:noWrap/>
            <w:vAlign w:val="center"/>
          </w:tcPr>
          <w:p w14:paraId="57CE4FA0">
            <w:pPr>
              <w:pStyle w:val="88"/>
              <w:spacing w:before="31" w:after="31"/>
              <w:rPr>
                <w:rFonts w:hint="default"/>
                <w:color w:val="000000"/>
              </w:rPr>
            </w:pPr>
          </w:p>
        </w:tc>
      </w:tr>
      <w:tr w14:paraId="2AF81BB0">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PrEx>
        <w:trPr>
          <w:trHeight w:val="454" w:hRule="atLeast"/>
          <w:jc w:val="center"/>
        </w:trPr>
        <w:tc>
          <w:tcPr>
            <w:tcW w:w="721" w:type="dxa"/>
            <w:vMerge w:val="restart"/>
            <w:noWrap/>
            <w:vAlign w:val="center"/>
          </w:tcPr>
          <w:p w14:paraId="7366A848">
            <w:pPr>
              <w:pStyle w:val="88"/>
              <w:spacing w:before="31" w:after="31"/>
              <w:rPr>
                <w:rFonts w:hint="default"/>
                <w:color w:val="000000"/>
              </w:rPr>
            </w:pPr>
            <w:r>
              <w:rPr>
                <w:rFonts w:hint="default"/>
                <w:color w:val="000000"/>
              </w:rPr>
              <w:t>塔式起重机结构</w:t>
            </w:r>
          </w:p>
        </w:tc>
        <w:tc>
          <w:tcPr>
            <w:tcW w:w="513" w:type="dxa"/>
            <w:noWrap/>
            <w:vAlign w:val="center"/>
          </w:tcPr>
          <w:p w14:paraId="28D32B1E">
            <w:pPr>
              <w:pStyle w:val="88"/>
              <w:numPr>
                <w:ilvl w:val="0"/>
                <w:numId w:val="9"/>
              </w:numPr>
              <w:tabs>
                <w:tab w:val="clear" w:pos="0"/>
              </w:tabs>
              <w:spacing w:before="31" w:after="31"/>
              <w:rPr>
                <w:rFonts w:hint="default"/>
                <w:color w:val="000000"/>
              </w:rPr>
            </w:pPr>
          </w:p>
        </w:tc>
        <w:tc>
          <w:tcPr>
            <w:tcW w:w="6041" w:type="dxa"/>
            <w:noWrap/>
            <w:vAlign w:val="center"/>
          </w:tcPr>
          <w:p w14:paraId="23EAEBDE">
            <w:pPr>
              <w:pStyle w:val="88"/>
              <w:spacing w:before="31" w:after="31"/>
              <w:rPr>
                <w:rFonts w:hint="default"/>
                <w:color w:val="000000"/>
              </w:rPr>
            </w:pPr>
            <w:r>
              <w:rPr>
                <w:rFonts w:hint="default"/>
                <w:color w:val="000000"/>
              </w:rPr>
              <w:t>金属结构无可见裂纹和明显变形</w:t>
            </w:r>
          </w:p>
        </w:tc>
        <w:tc>
          <w:tcPr>
            <w:tcW w:w="1229" w:type="dxa"/>
            <w:noWrap/>
            <w:vAlign w:val="center"/>
          </w:tcPr>
          <w:p w14:paraId="561F16C4">
            <w:pPr>
              <w:pStyle w:val="88"/>
              <w:spacing w:before="31" w:after="31"/>
              <w:rPr>
                <w:rFonts w:hint="default"/>
                <w:color w:val="000000"/>
              </w:rPr>
            </w:pPr>
          </w:p>
        </w:tc>
      </w:tr>
      <w:tr w14:paraId="71FBCD4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2C214B6">
            <w:pPr>
              <w:pStyle w:val="88"/>
              <w:spacing w:before="31" w:after="31"/>
              <w:rPr>
                <w:rFonts w:hint="default"/>
                <w:color w:val="000000"/>
              </w:rPr>
            </w:pPr>
          </w:p>
        </w:tc>
        <w:tc>
          <w:tcPr>
            <w:tcW w:w="513" w:type="dxa"/>
            <w:noWrap/>
            <w:vAlign w:val="center"/>
          </w:tcPr>
          <w:p w14:paraId="620F560D">
            <w:pPr>
              <w:pStyle w:val="88"/>
              <w:numPr>
                <w:ilvl w:val="0"/>
                <w:numId w:val="9"/>
              </w:numPr>
              <w:tabs>
                <w:tab w:val="clear" w:pos="0"/>
              </w:tabs>
              <w:spacing w:before="31" w:after="31"/>
              <w:rPr>
                <w:rFonts w:hint="default"/>
                <w:color w:val="000000"/>
              </w:rPr>
            </w:pPr>
          </w:p>
        </w:tc>
        <w:tc>
          <w:tcPr>
            <w:tcW w:w="6041" w:type="dxa"/>
            <w:noWrap/>
            <w:vAlign w:val="center"/>
          </w:tcPr>
          <w:p w14:paraId="3BC1C7AD">
            <w:pPr>
              <w:pStyle w:val="88"/>
              <w:spacing w:before="31" w:after="31"/>
              <w:rPr>
                <w:rFonts w:hint="default"/>
                <w:color w:val="000000"/>
              </w:rPr>
            </w:pPr>
            <w:r>
              <w:rPr>
                <w:rFonts w:hint="default"/>
                <w:color w:val="000000"/>
              </w:rPr>
              <w:t>连接螺栓齐全，规格和预紧力达到使用说明书要求</w:t>
            </w:r>
          </w:p>
        </w:tc>
        <w:tc>
          <w:tcPr>
            <w:tcW w:w="1229" w:type="dxa"/>
            <w:noWrap/>
            <w:vAlign w:val="center"/>
          </w:tcPr>
          <w:p w14:paraId="4161220E">
            <w:pPr>
              <w:pStyle w:val="88"/>
              <w:spacing w:before="31" w:after="31"/>
              <w:rPr>
                <w:rFonts w:hint="default"/>
                <w:color w:val="000000"/>
              </w:rPr>
            </w:pPr>
          </w:p>
        </w:tc>
      </w:tr>
      <w:tr w14:paraId="1783C81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75C386DB">
            <w:pPr>
              <w:pStyle w:val="88"/>
              <w:spacing w:before="31" w:after="31"/>
              <w:rPr>
                <w:rFonts w:hint="default"/>
                <w:color w:val="000000"/>
              </w:rPr>
            </w:pPr>
          </w:p>
        </w:tc>
        <w:tc>
          <w:tcPr>
            <w:tcW w:w="513" w:type="dxa"/>
            <w:noWrap/>
            <w:vAlign w:val="center"/>
          </w:tcPr>
          <w:p w14:paraId="230E96AC">
            <w:pPr>
              <w:pStyle w:val="88"/>
              <w:numPr>
                <w:ilvl w:val="0"/>
                <w:numId w:val="9"/>
              </w:numPr>
              <w:tabs>
                <w:tab w:val="clear" w:pos="0"/>
              </w:tabs>
              <w:spacing w:before="31" w:after="31"/>
              <w:rPr>
                <w:rFonts w:hint="default"/>
                <w:color w:val="000000"/>
              </w:rPr>
            </w:pPr>
          </w:p>
        </w:tc>
        <w:tc>
          <w:tcPr>
            <w:tcW w:w="6041" w:type="dxa"/>
            <w:noWrap/>
            <w:vAlign w:val="center"/>
          </w:tcPr>
          <w:p w14:paraId="22A8E79F">
            <w:pPr>
              <w:pStyle w:val="88"/>
              <w:spacing w:before="31" w:after="31"/>
              <w:rPr>
                <w:rFonts w:hint="default"/>
                <w:color w:val="000000"/>
              </w:rPr>
            </w:pPr>
            <w:r>
              <w:rPr>
                <w:rFonts w:hint="default"/>
                <w:color w:val="000000"/>
              </w:rPr>
              <w:t xml:space="preserve">销轴连接可靠，符合出厂要求 </w:t>
            </w:r>
          </w:p>
        </w:tc>
        <w:tc>
          <w:tcPr>
            <w:tcW w:w="1229" w:type="dxa"/>
            <w:noWrap/>
            <w:vAlign w:val="center"/>
          </w:tcPr>
          <w:p w14:paraId="55FF69D8">
            <w:pPr>
              <w:pStyle w:val="88"/>
              <w:spacing w:before="31" w:after="31"/>
              <w:rPr>
                <w:rFonts w:hint="default"/>
                <w:color w:val="000000"/>
              </w:rPr>
            </w:pPr>
          </w:p>
        </w:tc>
      </w:tr>
      <w:tr w14:paraId="1B104D0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72E70F51">
            <w:pPr>
              <w:pStyle w:val="88"/>
              <w:spacing w:before="31" w:after="31"/>
              <w:rPr>
                <w:rFonts w:hint="default"/>
                <w:color w:val="000000"/>
              </w:rPr>
            </w:pPr>
          </w:p>
        </w:tc>
        <w:tc>
          <w:tcPr>
            <w:tcW w:w="513" w:type="dxa"/>
            <w:noWrap/>
            <w:vAlign w:val="center"/>
          </w:tcPr>
          <w:p w14:paraId="1216605A">
            <w:pPr>
              <w:pStyle w:val="88"/>
              <w:numPr>
                <w:ilvl w:val="0"/>
                <w:numId w:val="9"/>
              </w:numPr>
              <w:tabs>
                <w:tab w:val="clear" w:pos="0"/>
              </w:tabs>
              <w:spacing w:before="31" w:after="31"/>
              <w:rPr>
                <w:rFonts w:hint="default"/>
                <w:color w:val="000000"/>
              </w:rPr>
            </w:pPr>
          </w:p>
        </w:tc>
        <w:tc>
          <w:tcPr>
            <w:tcW w:w="6041" w:type="dxa"/>
            <w:noWrap/>
            <w:vAlign w:val="center"/>
          </w:tcPr>
          <w:p w14:paraId="58CA04DF">
            <w:pPr>
              <w:pStyle w:val="88"/>
              <w:spacing w:before="31" w:after="31"/>
              <w:rPr>
                <w:rFonts w:hint="default"/>
                <w:color w:val="000000"/>
              </w:rPr>
            </w:pPr>
            <w:r>
              <w:rPr>
                <w:rFonts w:hint="default"/>
                <w:color w:val="000000"/>
              </w:rPr>
              <w:t>过道、平台、栏杆、踏板符合GB5144—2006规定，连接牢靠</w:t>
            </w:r>
          </w:p>
        </w:tc>
        <w:tc>
          <w:tcPr>
            <w:tcW w:w="1229" w:type="dxa"/>
            <w:noWrap/>
            <w:vAlign w:val="center"/>
          </w:tcPr>
          <w:p w14:paraId="277A4F4E">
            <w:pPr>
              <w:pStyle w:val="88"/>
              <w:spacing w:before="31" w:after="31"/>
              <w:rPr>
                <w:rFonts w:hint="default"/>
                <w:color w:val="000000"/>
              </w:rPr>
            </w:pPr>
          </w:p>
        </w:tc>
      </w:tr>
      <w:tr w14:paraId="50D2FBA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7869C76">
            <w:pPr>
              <w:pStyle w:val="88"/>
              <w:spacing w:before="31" w:after="31"/>
              <w:rPr>
                <w:rFonts w:hint="default"/>
                <w:color w:val="000000"/>
              </w:rPr>
            </w:pPr>
          </w:p>
        </w:tc>
        <w:tc>
          <w:tcPr>
            <w:tcW w:w="513" w:type="dxa"/>
            <w:noWrap/>
            <w:vAlign w:val="center"/>
          </w:tcPr>
          <w:p w14:paraId="4BFAFC34">
            <w:pPr>
              <w:pStyle w:val="88"/>
              <w:numPr>
                <w:ilvl w:val="0"/>
                <w:numId w:val="9"/>
              </w:numPr>
              <w:tabs>
                <w:tab w:val="clear" w:pos="0"/>
              </w:tabs>
              <w:spacing w:before="31" w:after="31"/>
              <w:rPr>
                <w:rFonts w:hint="default"/>
                <w:color w:val="000000"/>
              </w:rPr>
            </w:pPr>
          </w:p>
        </w:tc>
        <w:tc>
          <w:tcPr>
            <w:tcW w:w="6041" w:type="dxa"/>
            <w:noWrap/>
            <w:vAlign w:val="center"/>
          </w:tcPr>
          <w:p w14:paraId="702575B1">
            <w:pPr>
              <w:pStyle w:val="88"/>
              <w:spacing w:before="31" w:after="31"/>
              <w:rPr>
                <w:rFonts w:hint="default"/>
                <w:color w:val="000000"/>
              </w:rPr>
            </w:pPr>
            <w:r>
              <w:rPr>
                <w:rFonts w:hint="default"/>
                <w:color w:val="000000"/>
              </w:rPr>
              <w:t>梯子、护圈、休息平台符合GB5144—2006规定，连接牢靠</w:t>
            </w:r>
          </w:p>
        </w:tc>
        <w:tc>
          <w:tcPr>
            <w:tcW w:w="1229" w:type="dxa"/>
            <w:noWrap/>
            <w:vAlign w:val="center"/>
          </w:tcPr>
          <w:p w14:paraId="18128BB1">
            <w:pPr>
              <w:pStyle w:val="88"/>
              <w:spacing w:before="31" w:after="31"/>
              <w:rPr>
                <w:rFonts w:hint="default"/>
                <w:color w:val="000000"/>
              </w:rPr>
            </w:pPr>
          </w:p>
        </w:tc>
      </w:tr>
      <w:tr w14:paraId="574FC5D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3701797">
            <w:pPr>
              <w:pStyle w:val="88"/>
              <w:spacing w:before="31" w:after="31"/>
              <w:rPr>
                <w:rFonts w:hint="default"/>
                <w:color w:val="000000"/>
              </w:rPr>
            </w:pPr>
          </w:p>
        </w:tc>
        <w:tc>
          <w:tcPr>
            <w:tcW w:w="513" w:type="dxa"/>
            <w:noWrap/>
            <w:vAlign w:val="center"/>
          </w:tcPr>
          <w:p w14:paraId="3E570326">
            <w:pPr>
              <w:pStyle w:val="88"/>
              <w:numPr>
                <w:ilvl w:val="0"/>
                <w:numId w:val="9"/>
              </w:numPr>
              <w:tabs>
                <w:tab w:val="clear" w:pos="0"/>
              </w:tabs>
              <w:spacing w:before="31" w:after="31"/>
              <w:rPr>
                <w:rFonts w:hint="default"/>
                <w:color w:val="000000"/>
              </w:rPr>
            </w:pPr>
          </w:p>
        </w:tc>
        <w:tc>
          <w:tcPr>
            <w:tcW w:w="6041" w:type="dxa"/>
            <w:noWrap/>
            <w:vAlign w:val="center"/>
          </w:tcPr>
          <w:p w14:paraId="1AA2571D">
            <w:pPr>
              <w:pStyle w:val="88"/>
              <w:spacing w:before="31" w:after="31"/>
              <w:rPr>
                <w:rFonts w:hint="default"/>
                <w:color w:val="000000"/>
              </w:rPr>
            </w:pPr>
            <w:r>
              <w:rPr>
                <w:rFonts w:hint="default"/>
                <w:color w:val="000000"/>
              </w:rPr>
              <w:t xml:space="preserve">平衡重牢固，重量与位置符合使用说明书要求， </w:t>
            </w:r>
          </w:p>
        </w:tc>
        <w:tc>
          <w:tcPr>
            <w:tcW w:w="1229" w:type="dxa"/>
            <w:noWrap/>
            <w:vAlign w:val="center"/>
          </w:tcPr>
          <w:p w14:paraId="29693885">
            <w:pPr>
              <w:pStyle w:val="88"/>
              <w:spacing w:before="31" w:after="31"/>
              <w:rPr>
                <w:rFonts w:hint="default"/>
                <w:color w:val="000000"/>
              </w:rPr>
            </w:pPr>
          </w:p>
        </w:tc>
      </w:tr>
      <w:tr w14:paraId="3E5F0F4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noWrap/>
            <w:vAlign w:val="center"/>
          </w:tcPr>
          <w:p w14:paraId="7B153E7A">
            <w:pPr>
              <w:pStyle w:val="88"/>
              <w:spacing w:before="31" w:after="31"/>
              <w:rPr>
                <w:rFonts w:hint="default"/>
                <w:color w:val="000000"/>
              </w:rPr>
            </w:pPr>
            <w:r>
              <w:rPr>
                <w:rFonts w:hint="default"/>
                <w:color w:val="000000"/>
              </w:rPr>
              <w:t>垂直度</w:t>
            </w:r>
          </w:p>
        </w:tc>
        <w:tc>
          <w:tcPr>
            <w:tcW w:w="513" w:type="dxa"/>
            <w:noWrap/>
            <w:vAlign w:val="center"/>
          </w:tcPr>
          <w:p w14:paraId="2CA8E6B0">
            <w:pPr>
              <w:pStyle w:val="88"/>
              <w:numPr>
                <w:ilvl w:val="0"/>
                <w:numId w:val="9"/>
              </w:numPr>
              <w:tabs>
                <w:tab w:val="clear" w:pos="0"/>
              </w:tabs>
              <w:spacing w:before="31" w:after="31"/>
              <w:rPr>
                <w:rFonts w:hint="default"/>
                <w:color w:val="000000"/>
              </w:rPr>
            </w:pPr>
          </w:p>
        </w:tc>
        <w:tc>
          <w:tcPr>
            <w:tcW w:w="6041" w:type="dxa"/>
            <w:noWrap/>
            <w:vAlign w:val="center"/>
          </w:tcPr>
          <w:p w14:paraId="5CFE4A2F">
            <w:pPr>
              <w:pStyle w:val="88"/>
              <w:spacing w:before="31" w:after="31"/>
              <w:rPr>
                <w:rFonts w:hint="default"/>
                <w:color w:val="000000"/>
              </w:rPr>
            </w:pPr>
            <w:r>
              <w:rPr>
                <w:rFonts w:hint="default"/>
                <w:color w:val="000000"/>
              </w:rPr>
              <w:t>独立状态塔身轴心线对支承面的垂直度≤4‰</w:t>
            </w:r>
          </w:p>
        </w:tc>
        <w:tc>
          <w:tcPr>
            <w:tcW w:w="1229" w:type="dxa"/>
            <w:noWrap/>
            <w:vAlign w:val="center"/>
          </w:tcPr>
          <w:p w14:paraId="185F8EAC">
            <w:pPr>
              <w:pStyle w:val="88"/>
              <w:spacing w:before="31" w:after="31"/>
              <w:rPr>
                <w:rFonts w:hint="default"/>
                <w:color w:val="000000"/>
              </w:rPr>
            </w:pPr>
          </w:p>
        </w:tc>
      </w:tr>
      <w:tr w14:paraId="664E072A">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noWrap/>
            <w:vAlign w:val="center"/>
          </w:tcPr>
          <w:p w14:paraId="3A51288C">
            <w:pPr>
              <w:pStyle w:val="88"/>
              <w:spacing w:before="31" w:after="31"/>
              <w:rPr>
                <w:rFonts w:hint="default"/>
                <w:color w:val="000000"/>
              </w:rPr>
            </w:pPr>
            <w:r>
              <w:rPr>
                <w:rFonts w:hint="default"/>
                <w:color w:val="000000"/>
              </w:rPr>
              <w:t>回转</w:t>
            </w:r>
          </w:p>
        </w:tc>
        <w:tc>
          <w:tcPr>
            <w:tcW w:w="513" w:type="dxa"/>
            <w:noWrap/>
            <w:vAlign w:val="center"/>
          </w:tcPr>
          <w:p w14:paraId="5C0B8697">
            <w:pPr>
              <w:pStyle w:val="88"/>
              <w:numPr>
                <w:ilvl w:val="0"/>
                <w:numId w:val="9"/>
              </w:numPr>
              <w:tabs>
                <w:tab w:val="clear" w:pos="0"/>
              </w:tabs>
              <w:spacing w:before="31" w:after="31"/>
              <w:rPr>
                <w:rFonts w:hint="default"/>
                <w:color w:val="000000"/>
              </w:rPr>
            </w:pPr>
          </w:p>
        </w:tc>
        <w:tc>
          <w:tcPr>
            <w:tcW w:w="6041" w:type="dxa"/>
            <w:noWrap/>
            <w:vAlign w:val="center"/>
          </w:tcPr>
          <w:p w14:paraId="628E79B5">
            <w:pPr>
              <w:pStyle w:val="88"/>
              <w:spacing w:before="31" w:after="31"/>
              <w:rPr>
                <w:rFonts w:hint="default"/>
                <w:color w:val="000000"/>
              </w:rPr>
            </w:pPr>
            <w:r>
              <w:rPr>
                <w:rFonts w:hint="default"/>
                <w:color w:val="000000"/>
              </w:rPr>
              <w:t>回转处不设集电器供电的塔式起重机，应设置正反两个方向回转限位开关，开关动作时臂架旋转角度应≤±540°</w:t>
            </w:r>
          </w:p>
        </w:tc>
        <w:tc>
          <w:tcPr>
            <w:tcW w:w="1229" w:type="dxa"/>
            <w:noWrap/>
            <w:vAlign w:val="center"/>
          </w:tcPr>
          <w:p w14:paraId="225BF97C">
            <w:pPr>
              <w:pStyle w:val="88"/>
              <w:spacing w:before="31" w:after="31"/>
              <w:rPr>
                <w:rFonts w:hint="default"/>
                <w:color w:val="000000"/>
              </w:rPr>
            </w:pPr>
          </w:p>
        </w:tc>
      </w:tr>
      <w:tr w14:paraId="00E89EA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5A02A654">
            <w:pPr>
              <w:pStyle w:val="88"/>
              <w:spacing w:before="31" w:after="31"/>
              <w:rPr>
                <w:rFonts w:hint="default"/>
                <w:color w:val="000000"/>
              </w:rPr>
            </w:pPr>
            <w:r>
              <w:rPr>
                <w:rFonts w:hint="default"/>
                <w:color w:val="000000"/>
              </w:rPr>
              <w:t>起升系统</w:t>
            </w:r>
          </w:p>
        </w:tc>
        <w:tc>
          <w:tcPr>
            <w:tcW w:w="513" w:type="dxa"/>
            <w:noWrap/>
            <w:vAlign w:val="center"/>
          </w:tcPr>
          <w:p w14:paraId="0E48C602">
            <w:pPr>
              <w:pStyle w:val="88"/>
              <w:numPr>
                <w:ilvl w:val="0"/>
                <w:numId w:val="9"/>
              </w:numPr>
              <w:tabs>
                <w:tab w:val="clear" w:pos="0"/>
              </w:tabs>
              <w:spacing w:before="31" w:after="31"/>
              <w:rPr>
                <w:rFonts w:hint="default"/>
                <w:color w:val="000000"/>
              </w:rPr>
            </w:pPr>
          </w:p>
        </w:tc>
        <w:tc>
          <w:tcPr>
            <w:tcW w:w="6041" w:type="dxa"/>
            <w:noWrap/>
            <w:vAlign w:val="center"/>
          </w:tcPr>
          <w:p w14:paraId="1A0BF731">
            <w:pPr>
              <w:pStyle w:val="88"/>
              <w:spacing w:before="31" w:after="31"/>
              <w:rPr>
                <w:rFonts w:hint="default"/>
                <w:color w:val="000000"/>
              </w:rPr>
            </w:pPr>
            <w:r>
              <w:rPr>
                <w:rFonts w:hint="default"/>
                <w:color w:val="000000"/>
              </w:rPr>
              <w:t>起重力矩限制器灵敏可靠，限制值&lt;额定载荷110%，显示误差≤额定载荷±5%</w:t>
            </w:r>
          </w:p>
        </w:tc>
        <w:tc>
          <w:tcPr>
            <w:tcW w:w="1229" w:type="dxa"/>
            <w:noWrap/>
            <w:vAlign w:val="center"/>
          </w:tcPr>
          <w:p w14:paraId="6F19D62D">
            <w:pPr>
              <w:pStyle w:val="88"/>
              <w:spacing w:before="31" w:after="31"/>
              <w:rPr>
                <w:rFonts w:hint="default"/>
                <w:color w:val="000000"/>
              </w:rPr>
            </w:pPr>
          </w:p>
        </w:tc>
      </w:tr>
      <w:tr w14:paraId="32432C2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7CA6E9B6">
            <w:pPr>
              <w:pStyle w:val="88"/>
              <w:spacing w:before="31" w:after="31"/>
              <w:rPr>
                <w:rFonts w:hint="default"/>
                <w:color w:val="000000"/>
              </w:rPr>
            </w:pPr>
          </w:p>
        </w:tc>
        <w:tc>
          <w:tcPr>
            <w:tcW w:w="513" w:type="dxa"/>
            <w:noWrap/>
            <w:vAlign w:val="center"/>
          </w:tcPr>
          <w:p w14:paraId="06A9C760">
            <w:pPr>
              <w:pStyle w:val="88"/>
              <w:numPr>
                <w:ilvl w:val="0"/>
                <w:numId w:val="9"/>
              </w:numPr>
              <w:tabs>
                <w:tab w:val="clear" w:pos="0"/>
              </w:tabs>
              <w:spacing w:before="31" w:after="31"/>
              <w:rPr>
                <w:rFonts w:hint="default"/>
                <w:color w:val="000000"/>
              </w:rPr>
            </w:pPr>
          </w:p>
        </w:tc>
        <w:tc>
          <w:tcPr>
            <w:tcW w:w="6041" w:type="dxa"/>
            <w:noWrap/>
            <w:vAlign w:val="center"/>
          </w:tcPr>
          <w:p w14:paraId="3D054A14">
            <w:pPr>
              <w:pStyle w:val="88"/>
              <w:spacing w:before="31" w:after="31"/>
              <w:rPr>
                <w:rFonts w:hint="default"/>
                <w:color w:val="000000"/>
              </w:rPr>
            </w:pPr>
            <w:r>
              <w:rPr>
                <w:rFonts w:hint="default"/>
                <w:color w:val="000000"/>
              </w:rPr>
              <w:t>起升高度限位器灵敏可靠，安全越程≥800mm</w:t>
            </w:r>
          </w:p>
        </w:tc>
        <w:tc>
          <w:tcPr>
            <w:tcW w:w="1229" w:type="dxa"/>
            <w:noWrap/>
            <w:vAlign w:val="center"/>
          </w:tcPr>
          <w:p w14:paraId="1991A911">
            <w:pPr>
              <w:pStyle w:val="88"/>
              <w:spacing w:before="31" w:after="31"/>
              <w:rPr>
                <w:rFonts w:hint="default"/>
                <w:color w:val="000000"/>
              </w:rPr>
            </w:pPr>
          </w:p>
        </w:tc>
      </w:tr>
      <w:tr w14:paraId="5D902DC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7430D968">
            <w:pPr>
              <w:pStyle w:val="88"/>
              <w:spacing w:before="31" w:after="31"/>
              <w:rPr>
                <w:rFonts w:hint="default"/>
                <w:color w:val="000000"/>
              </w:rPr>
            </w:pPr>
          </w:p>
        </w:tc>
        <w:tc>
          <w:tcPr>
            <w:tcW w:w="513" w:type="dxa"/>
            <w:noWrap/>
            <w:vAlign w:val="center"/>
          </w:tcPr>
          <w:p w14:paraId="1D4027C7">
            <w:pPr>
              <w:pStyle w:val="88"/>
              <w:numPr>
                <w:ilvl w:val="0"/>
                <w:numId w:val="9"/>
              </w:numPr>
              <w:tabs>
                <w:tab w:val="clear" w:pos="0"/>
              </w:tabs>
              <w:spacing w:before="31" w:after="31"/>
              <w:rPr>
                <w:rFonts w:hint="default"/>
                <w:color w:val="000000"/>
              </w:rPr>
            </w:pPr>
          </w:p>
        </w:tc>
        <w:tc>
          <w:tcPr>
            <w:tcW w:w="6041" w:type="dxa"/>
            <w:noWrap/>
            <w:vAlign w:val="center"/>
          </w:tcPr>
          <w:p w14:paraId="7C6964D1">
            <w:pPr>
              <w:pStyle w:val="88"/>
              <w:spacing w:before="31" w:after="31"/>
              <w:rPr>
                <w:rFonts w:hint="default"/>
                <w:color w:val="000000"/>
              </w:rPr>
            </w:pPr>
            <w:r>
              <w:rPr>
                <w:rFonts w:hint="default"/>
                <w:color w:val="000000"/>
              </w:rPr>
              <w:t>起重量限制器灵敏可靠，限制值＜额定载荷110%，显示误差≤额定载荷±5%</w:t>
            </w:r>
          </w:p>
        </w:tc>
        <w:tc>
          <w:tcPr>
            <w:tcW w:w="1229" w:type="dxa"/>
            <w:noWrap/>
            <w:vAlign w:val="center"/>
          </w:tcPr>
          <w:p w14:paraId="47BF0DEF">
            <w:pPr>
              <w:pStyle w:val="88"/>
              <w:spacing w:before="31" w:after="31"/>
              <w:rPr>
                <w:rFonts w:hint="default"/>
                <w:color w:val="000000"/>
              </w:rPr>
            </w:pPr>
          </w:p>
        </w:tc>
      </w:tr>
      <w:tr w14:paraId="57C7905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19326680">
            <w:pPr>
              <w:pStyle w:val="88"/>
              <w:spacing w:before="31" w:after="31"/>
              <w:rPr>
                <w:rFonts w:hint="default"/>
                <w:color w:val="000000"/>
              </w:rPr>
            </w:pPr>
            <w:r>
              <w:rPr>
                <w:rFonts w:hint="default"/>
                <w:color w:val="000000"/>
              </w:rPr>
              <w:t>变幅系统</w:t>
            </w:r>
          </w:p>
        </w:tc>
        <w:tc>
          <w:tcPr>
            <w:tcW w:w="513" w:type="dxa"/>
            <w:noWrap/>
            <w:vAlign w:val="center"/>
          </w:tcPr>
          <w:p w14:paraId="7A410459">
            <w:pPr>
              <w:pStyle w:val="88"/>
              <w:numPr>
                <w:ilvl w:val="0"/>
                <w:numId w:val="9"/>
              </w:numPr>
              <w:tabs>
                <w:tab w:val="clear" w:pos="0"/>
              </w:tabs>
              <w:spacing w:before="31" w:after="31"/>
              <w:rPr>
                <w:rFonts w:hint="default"/>
                <w:color w:val="000000"/>
              </w:rPr>
            </w:pPr>
          </w:p>
        </w:tc>
        <w:tc>
          <w:tcPr>
            <w:tcW w:w="6041" w:type="dxa"/>
            <w:noWrap/>
            <w:vAlign w:val="center"/>
          </w:tcPr>
          <w:p w14:paraId="03D6C868">
            <w:pPr>
              <w:pStyle w:val="88"/>
              <w:spacing w:before="31" w:after="31"/>
              <w:rPr>
                <w:rFonts w:hint="default"/>
                <w:color w:val="000000"/>
              </w:rPr>
            </w:pPr>
            <w:r>
              <w:rPr>
                <w:rFonts w:hint="default"/>
                <w:color w:val="000000"/>
              </w:rPr>
              <w:t>应设置小车断绳、小车断轴保护装置，可靠有效</w:t>
            </w:r>
          </w:p>
        </w:tc>
        <w:tc>
          <w:tcPr>
            <w:tcW w:w="1229" w:type="dxa"/>
            <w:noWrap/>
            <w:vAlign w:val="center"/>
          </w:tcPr>
          <w:p w14:paraId="7BAFC72F">
            <w:pPr>
              <w:pStyle w:val="88"/>
              <w:spacing w:before="31" w:after="31"/>
              <w:rPr>
                <w:rFonts w:hint="default"/>
                <w:color w:val="000000"/>
              </w:rPr>
            </w:pPr>
          </w:p>
        </w:tc>
      </w:tr>
      <w:tr w14:paraId="3D91EAE9">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112CDBA3">
            <w:pPr>
              <w:pStyle w:val="88"/>
              <w:spacing w:before="31" w:after="31"/>
              <w:rPr>
                <w:rFonts w:hint="default"/>
                <w:color w:val="000000"/>
              </w:rPr>
            </w:pPr>
          </w:p>
        </w:tc>
        <w:tc>
          <w:tcPr>
            <w:tcW w:w="513" w:type="dxa"/>
            <w:noWrap/>
            <w:vAlign w:val="center"/>
          </w:tcPr>
          <w:p w14:paraId="6E161B5B">
            <w:pPr>
              <w:pStyle w:val="88"/>
              <w:numPr>
                <w:ilvl w:val="0"/>
                <w:numId w:val="9"/>
              </w:numPr>
              <w:tabs>
                <w:tab w:val="clear" w:pos="0"/>
              </w:tabs>
              <w:spacing w:before="31" w:after="31"/>
              <w:rPr>
                <w:rFonts w:hint="default"/>
                <w:color w:val="000000"/>
              </w:rPr>
            </w:pPr>
          </w:p>
        </w:tc>
        <w:tc>
          <w:tcPr>
            <w:tcW w:w="6041" w:type="dxa"/>
            <w:noWrap/>
            <w:vAlign w:val="center"/>
          </w:tcPr>
          <w:p w14:paraId="0658923C">
            <w:pPr>
              <w:pStyle w:val="88"/>
              <w:spacing w:before="31" w:after="31"/>
              <w:rPr>
                <w:rFonts w:hint="default"/>
                <w:color w:val="000000"/>
              </w:rPr>
            </w:pPr>
            <w:r>
              <w:rPr>
                <w:rFonts w:hint="default"/>
                <w:color w:val="000000"/>
              </w:rPr>
              <w:t>小车变幅检修</w:t>
            </w:r>
            <w:r>
              <w:rPr>
                <w:color w:val="000000"/>
              </w:rPr>
              <w:t>平台</w:t>
            </w:r>
            <w:r>
              <w:rPr>
                <w:rFonts w:hint="default"/>
                <w:color w:val="000000"/>
              </w:rPr>
              <w:t>牢固可靠</w:t>
            </w:r>
          </w:p>
        </w:tc>
        <w:tc>
          <w:tcPr>
            <w:tcW w:w="1229" w:type="dxa"/>
            <w:noWrap/>
            <w:vAlign w:val="center"/>
          </w:tcPr>
          <w:p w14:paraId="24ACDFB8">
            <w:pPr>
              <w:pStyle w:val="88"/>
              <w:spacing w:before="31" w:after="31"/>
              <w:rPr>
                <w:rFonts w:hint="default"/>
                <w:color w:val="000000"/>
              </w:rPr>
            </w:pPr>
          </w:p>
        </w:tc>
      </w:tr>
      <w:tr w14:paraId="41FDDE05">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41879F64">
            <w:pPr>
              <w:pStyle w:val="88"/>
              <w:spacing w:before="31" w:after="31"/>
              <w:rPr>
                <w:rFonts w:hint="default"/>
                <w:color w:val="000000"/>
              </w:rPr>
            </w:pPr>
          </w:p>
        </w:tc>
        <w:tc>
          <w:tcPr>
            <w:tcW w:w="513" w:type="dxa"/>
            <w:noWrap/>
            <w:vAlign w:val="center"/>
          </w:tcPr>
          <w:p w14:paraId="49BB7818">
            <w:pPr>
              <w:pStyle w:val="88"/>
              <w:numPr>
                <w:ilvl w:val="0"/>
                <w:numId w:val="9"/>
              </w:numPr>
              <w:tabs>
                <w:tab w:val="clear" w:pos="0"/>
              </w:tabs>
              <w:spacing w:before="31" w:after="31"/>
              <w:rPr>
                <w:rFonts w:hint="default"/>
                <w:color w:val="000000"/>
              </w:rPr>
            </w:pPr>
          </w:p>
        </w:tc>
        <w:tc>
          <w:tcPr>
            <w:tcW w:w="6041" w:type="dxa"/>
            <w:noWrap/>
            <w:vAlign w:val="center"/>
          </w:tcPr>
          <w:p w14:paraId="4EFEF41D">
            <w:pPr>
              <w:pStyle w:val="88"/>
              <w:spacing w:before="31" w:after="31"/>
              <w:rPr>
                <w:rFonts w:hint="default"/>
                <w:color w:val="000000"/>
              </w:rPr>
            </w:pPr>
            <w:r>
              <w:rPr>
                <w:rFonts w:hint="default"/>
                <w:color w:val="000000"/>
              </w:rPr>
              <w:t>小车行程限位开关和终端缓冲装置齐全有效。限位开关动作后应保证小车停车时其端部距缓冲装置距离≥200mm</w:t>
            </w:r>
          </w:p>
        </w:tc>
        <w:tc>
          <w:tcPr>
            <w:tcW w:w="1229" w:type="dxa"/>
            <w:noWrap/>
            <w:vAlign w:val="center"/>
          </w:tcPr>
          <w:p w14:paraId="71C872C9">
            <w:pPr>
              <w:pStyle w:val="88"/>
              <w:spacing w:before="31" w:after="31"/>
              <w:rPr>
                <w:rFonts w:hint="default"/>
                <w:color w:val="000000"/>
              </w:rPr>
            </w:pPr>
          </w:p>
        </w:tc>
      </w:tr>
      <w:tr w14:paraId="3CBE1B74">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0950B903">
            <w:pPr>
              <w:pStyle w:val="88"/>
              <w:spacing w:before="31" w:after="31"/>
              <w:rPr>
                <w:rFonts w:hint="default"/>
                <w:color w:val="000000"/>
              </w:rPr>
            </w:pPr>
            <w:r>
              <w:rPr>
                <w:rFonts w:hint="default"/>
                <w:color w:val="000000"/>
              </w:rPr>
              <w:t>机构及零部件</w:t>
            </w:r>
          </w:p>
        </w:tc>
        <w:tc>
          <w:tcPr>
            <w:tcW w:w="513" w:type="dxa"/>
            <w:noWrap/>
            <w:vAlign w:val="center"/>
          </w:tcPr>
          <w:p w14:paraId="3B9610B7">
            <w:pPr>
              <w:pStyle w:val="88"/>
              <w:numPr>
                <w:ilvl w:val="0"/>
                <w:numId w:val="9"/>
              </w:numPr>
              <w:tabs>
                <w:tab w:val="clear" w:pos="0"/>
              </w:tabs>
              <w:spacing w:before="31" w:after="31"/>
              <w:rPr>
                <w:rFonts w:hint="default"/>
                <w:color w:val="000000"/>
              </w:rPr>
            </w:pPr>
          </w:p>
        </w:tc>
        <w:tc>
          <w:tcPr>
            <w:tcW w:w="6041" w:type="dxa"/>
            <w:noWrap/>
            <w:vAlign w:val="center"/>
          </w:tcPr>
          <w:p w14:paraId="373D3CAE">
            <w:pPr>
              <w:pStyle w:val="88"/>
              <w:spacing w:before="31" w:after="31"/>
              <w:rPr>
                <w:rFonts w:hint="default"/>
                <w:color w:val="000000"/>
              </w:rPr>
            </w:pPr>
            <w:r>
              <w:rPr>
                <w:rFonts w:hint="default"/>
                <w:color w:val="000000"/>
              </w:rPr>
              <w:t>吊钩钩体无裂纹、补焊，危险截面、钩筋无塑性变形，挂绳处截面磨损量＜原高度的10%</w:t>
            </w:r>
          </w:p>
        </w:tc>
        <w:tc>
          <w:tcPr>
            <w:tcW w:w="1229" w:type="dxa"/>
            <w:noWrap/>
            <w:vAlign w:val="center"/>
          </w:tcPr>
          <w:p w14:paraId="337BFAF2">
            <w:pPr>
              <w:pStyle w:val="88"/>
              <w:spacing w:before="31" w:after="31"/>
              <w:rPr>
                <w:rFonts w:hint="default"/>
                <w:color w:val="000000"/>
              </w:rPr>
            </w:pPr>
          </w:p>
        </w:tc>
      </w:tr>
      <w:tr w14:paraId="194D4AD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961E71C">
            <w:pPr>
              <w:pStyle w:val="88"/>
              <w:spacing w:before="31" w:after="31"/>
              <w:rPr>
                <w:rFonts w:hint="default"/>
                <w:color w:val="000000"/>
              </w:rPr>
            </w:pPr>
          </w:p>
        </w:tc>
        <w:tc>
          <w:tcPr>
            <w:tcW w:w="513" w:type="dxa"/>
            <w:noWrap/>
            <w:vAlign w:val="center"/>
          </w:tcPr>
          <w:p w14:paraId="783C42E9">
            <w:pPr>
              <w:pStyle w:val="88"/>
              <w:numPr>
                <w:ilvl w:val="0"/>
                <w:numId w:val="9"/>
              </w:numPr>
              <w:tabs>
                <w:tab w:val="clear" w:pos="0"/>
              </w:tabs>
              <w:spacing w:before="31" w:after="31"/>
              <w:rPr>
                <w:rFonts w:hint="default"/>
                <w:color w:val="000000"/>
              </w:rPr>
            </w:pPr>
          </w:p>
        </w:tc>
        <w:tc>
          <w:tcPr>
            <w:tcW w:w="6041" w:type="dxa"/>
            <w:noWrap/>
            <w:vAlign w:val="center"/>
          </w:tcPr>
          <w:p w14:paraId="490C075A">
            <w:pPr>
              <w:pStyle w:val="88"/>
              <w:spacing w:before="31" w:after="31"/>
              <w:rPr>
                <w:rFonts w:hint="default"/>
                <w:color w:val="000000"/>
              </w:rPr>
            </w:pPr>
            <w:r>
              <w:rPr>
                <w:rFonts w:hint="default"/>
                <w:color w:val="000000"/>
              </w:rPr>
              <w:t>滑轮转动灵活可靠，无卡塞现象；无裂纹或轮缘破损；滑轮绳槽壁厚磨损量＜原壁厚的20%；滑轮槽底的磨损量＜相应钢丝绳直径的25%</w:t>
            </w:r>
          </w:p>
        </w:tc>
        <w:tc>
          <w:tcPr>
            <w:tcW w:w="1229" w:type="dxa"/>
            <w:noWrap/>
            <w:vAlign w:val="center"/>
          </w:tcPr>
          <w:p w14:paraId="6B900F80">
            <w:pPr>
              <w:pStyle w:val="88"/>
              <w:spacing w:before="31" w:after="31"/>
              <w:rPr>
                <w:rFonts w:hint="default"/>
                <w:color w:val="000000"/>
              </w:rPr>
            </w:pPr>
          </w:p>
        </w:tc>
      </w:tr>
      <w:tr w14:paraId="2300F3CF">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2D0AB7B9">
            <w:pPr>
              <w:pStyle w:val="88"/>
              <w:spacing w:before="31" w:after="31"/>
              <w:rPr>
                <w:rFonts w:hint="default"/>
                <w:color w:val="000000"/>
              </w:rPr>
            </w:pPr>
          </w:p>
        </w:tc>
        <w:tc>
          <w:tcPr>
            <w:tcW w:w="513" w:type="dxa"/>
            <w:noWrap/>
            <w:vAlign w:val="center"/>
          </w:tcPr>
          <w:p w14:paraId="492C95FD">
            <w:pPr>
              <w:pStyle w:val="88"/>
              <w:numPr>
                <w:ilvl w:val="0"/>
                <w:numId w:val="9"/>
              </w:numPr>
              <w:tabs>
                <w:tab w:val="clear" w:pos="0"/>
              </w:tabs>
              <w:spacing w:before="31" w:after="31"/>
              <w:rPr>
                <w:rFonts w:hint="default"/>
                <w:color w:val="000000"/>
              </w:rPr>
            </w:pPr>
          </w:p>
        </w:tc>
        <w:tc>
          <w:tcPr>
            <w:tcW w:w="6041" w:type="dxa"/>
            <w:noWrap/>
            <w:vAlign w:val="center"/>
          </w:tcPr>
          <w:p w14:paraId="7114BF49">
            <w:pPr>
              <w:pStyle w:val="88"/>
              <w:spacing w:before="31" w:after="31"/>
              <w:rPr>
                <w:rFonts w:hint="default"/>
                <w:color w:val="000000"/>
              </w:rPr>
            </w:pPr>
            <w:r>
              <w:rPr>
                <w:rFonts w:hint="default"/>
                <w:color w:val="000000"/>
              </w:rPr>
              <w:t>滑轮上的钢丝绳防脱装置应完整、可靠，该装置与滑轮最外缘的间隙≤钢丝绳直径的20%</w:t>
            </w:r>
          </w:p>
        </w:tc>
        <w:tc>
          <w:tcPr>
            <w:tcW w:w="1229" w:type="dxa"/>
            <w:noWrap/>
            <w:vAlign w:val="center"/>
          </w:tcPr>
          <w:p w14:paraId="2CA5EA1C">
            <w:pPr>
              <w:pStyle w:val="88"/>
              <w:spacing w:before="31" w:after="31"/>
              <w:rPr>
                <w:rFonts w:hint="default"/>
                <w:color w:val="000000"/>
              </w:rPr>
            </w:pPr>
          </w:p>
        </w:tc>
      </w:tr>
      <w:tr w14:paraId="18A7EC03">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133CE2FF">
            <w:pPr>
              <w:pStyle w:val="88"/>
              <w:spacing w:before="31" w:after="31"/>
              <w:rPr>
                <w:rFonts w:hint="default"/>
                <w:color w:val="000000"/>
              </w:rPr>
            </w:pPr>
          </w:p>
        </w:tc>
        <w:tc>
          <w:tcPr>
            <w:tcW w:w="513" w:type="dxa"/>
            <w:noWrap/>
            <w:vAlign w:val="center"/>
          </w:tcPr>
          <w:p w14:paraId="535209FA">
            <w:pPr>
              <w:pStyle w:val="88"/>
              <w:numPr>
                <w:ilvl w:val="0"/>
                <w:numId w:val="9"/>
              </w:numPr>
              <w:tabs>
                <w:tab w:val="clear" w:pos="0"/>
              </w:tabs>
              <w:spacing w:before="31" w:after="31"/>
              <w:rPr>
                <w:rFonts w:hint="default"/>
                <w:color w:val="000000"/>
              </w:rPr>
            </w:pPr>
          </w:p>
        </w:tc>
        <w:tc>
          <w:tcPr>
            <w:tcW w:w="6041" w:type="dxa"/>
            <w:noWrap/>
            <w:vAlign w:val="center"/>
          </w:tcPr>
          <w:p w14:paraId="58C128F3">
            <w:pPr>
              <w:pStyle w:val="88"/>
              <w:spacing w:before="31" w:after="31"/>
              <w:rPr>
                <w:rFonts w:hint="default"/>
                <w:color w:val="000000"/>
              </w:rPr>
            </w:pPr>
            <w:r>
              <w:rPr>
                <w:rFonts w:hint="default"/>
                <w:color w:val="000000"/>
              </w:rPr>
              <w:t>吊钩防钢丝绳脱钩装置应完整可靠</w:t>
            </w:r>
          </w:p>
        </w:tc>
        <w:tc>
          <w:tcPr>
            <w:tcW w:w="1229" w:type="dxa"/>
            <w:noWrap/>
            <w:vAlign w:val="center"/>
          </w:tcPr>
          <w:p w14:paraId="5EB82A2D">
            <w:pPr>
              <w:pStyle w:val="88"/>
              <w:spacing w:before="31" w:after="31"/>
              <w:rPr>
                <w:rFonts w:hint="default"/>
                <w:color w:val="000000"/>
              </w:rPr>
            </w:pPr>
          </w:p>
        </w:tc>
      </w:tr>
      <w:tr w14:paraId="4CFB243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611E14E0">
            <w:pPr>
              <w:pStyle w:val="88"/>
              <w:spacing w:before="31" w:after="31"/>
              <w:rPr>
                <w:rFonts w:hint="default"/>
                <w:color w:val="000000"/>
              </w:rPr>
            </w:pPr>
          </w:p>
        </w:tc>
        <w:tc>
          <w:tcPr>
            <w:tcW w:w="513" w:type="dxa"/>
            <w:noWrap/>
            <w:vAlign w:val="center"/>
          </w:tcPr>
          <w:p w14:paraId="5992A25C">
            <w:pPr>
              <w:pStyle w:val="88"/>
              <w:numPr>
                <w:ilvl w:val="0"/>
                <w:numId w:val="9"/>
              </w:numPr>
              <w:tabs>
                <w:tab w:val="clear" w:pos="0"/>
              </w:tabs>
              <w:spacing w:before="31" w:after="31"/>
              <w:rPr>
                <w:rFonts w:hint="default"/>
                <w:color w:val="000000"/>
              </w:rPr>
            </w:pPr>
          </w:p>
        </w:tc>
        <w:tc>
          <w:tcPr>
            <w:tcW w:w="6041" w:type="dxa"/>
            <w:noWrap/>
            <w:vAlign w:val="center"/>
          </w:tcPr>
          <w:p w14:paraId="70B4D887">
            <w:pPr>
              <w:pStyle w:val="88"/>
              <w:spacing w:before="31" w:after="31"/>
              <w:rPr>
                <w:rFonts w:hint="default"/>
                <w:color w:val="000000"/>
              </w:rPr>
            </w:pPr>
            <w:r>
              <w:rPr>
                <w:rFonts w:hint="default"/>
                <w:color w:val="000000"/>
              </w:rPr>
              <w:t>卷筒壁不应有裂纹，筒壁磨损量＜原壁厚的10%；多层缠绕的卷筒，端部应有比最外层钢丝绳高出2倍钢丝绳直径的凸缘</w:t>
            </w:r>
          </w:p>
        </w:tc>
        <w:tc>
          <w:tcPr>
            <w:tcW w:w="1229" w:type="dxa"/>
            <w:noWrap/>
            <w:vAlign w:val="top"/>
          </w:tcPr>
          <w:p w14:paraId="5A05C02E">
            <w:pPr>
              <w:pStyle w:val="88"/>
              <w:spacing w:before="31" w:after="31"/>
              <w:rPr>
                <w:rFonts w:hint="default"/>
                <w:color w:val="000000"/>
              </w:rPr>
            </w:pPr>
          </w:p>
        </w:tc>
      </w:tr>
      <w:tr w14:paraId="6571B4B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73A96ACE">
            <w:pPr>
              <w:pStyle w:val="88"/>
              <w:spacing w:before="31" w:after="31"/>
              <w:rPr>
                <w:rFonts w:hint="default"/>
                <w:color w:val="000000"/>
              </w:rPr>
            </w:pPr>
          </w:p>
        </w:tc>
        <w:tc>
          <w:tcPr>
            <w:tcW w:w="513" w:type="dxa"/>
            <w:noWrap/>
            <w:vAlign w:val="center"/>
          </w:tcPr>
          <w:p w14:paraId="77308203">
            <w:pPr>
              <w:pStyle w:val="88"/>
              <w:numPr>
                <w:ilvl w:val="0"/>
                <w:numId w:val="9"/>
              </w:numPr>
              <w:tabs>
                <w:tab w:val="clear" w:pos="0"/>
              </w:tabs>
              <w:spacing w:before="31" w:after="31"/>
              <w:rPr>
                <w:rFonts w:hint="default"/>
                <w:color w:val="000000"/>
              </w:rPr>
            </w:pPr>
          </w:p>
        </w:tc>
        <w:tc>
          <w:tcPr>
            <w:tcW w:w="6041" w:type="dxa"/>
            <w:noWrap/>
            <w:vAlign w:val="center"/>
          </w:tcPr>
          <w:p w14:paraId="7F3A3912">
            <w:pPr>
              <w:pStyle w:val="88"/>
              <w:spacing w:before="31" w:after="31"/>
              <w:rPr>
                <w:rFonts w:hint="default"/>
                <w:color w:val="000000"/>
              </w:rPr>
            </w:pPr>
            <w:r>
              <w:rPr>
                <w:rFonts w:hint="default"/>
                <w:color w:val="000000"/>
              </w:rPr>
              <w:t>卷筒上钢丝绳应排列有序，有钢丝绳防脱槽装置。该装置与卷筒最外缘的间隙≤钢丝绳直径的20%</w:t>
            </w:r>
          </w:p>
        </w:tc>
        <w:tc>
          <w:tcPr>
            <w:tcW w:w="1229" w:type="dxa"/>
            <w:noWrap/>
            <w:vAlign w:val="center"/>
          </w:tcPr>
          <w:p w14:paraId="19F8BBDC">
            <w:pPr>
              <w:pStyle w:val="88"/>
              <w:spacing w:before="31" w:after="31"/>
              <w:rPr>
                <w:rFonts w:hint="default"/>
                <w:color w:val="000000"/>
              </w:rPr>
            </w:pPr>
          </w:p>
        </w:tc>
      </w:tr>
      <w:tr w14:paraId="685FEC7E">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0B8BCEEA">
            <w:pPr>
              <w:pStyle w:val="88"/>
              <w:spacing w:before="31" w:after="31"/>
              <w:rPr>
                <w:rFonts w:hint="default"/>
                <w:color w:val="000000"/>
              </w:rPr>
            </w:pPr>
          </w:p>
        </w:tc>
        <w:tc>
          <w:tcPr>
            <w:tcW w:w="513" w:type="dxa"/>
            <w:noWrap/>
            <w:vAlign w:val="center"/>
          </w:tcPr>
          <w:p w14:paraId="77EAA29F">
            <w:pPr>
              <w:pStyle w:val="88"/>
              <w:numPr>
                <w:ilvl w:val="0"/>
                <w:numId w:val="9"/>
              </w:numPr>
              <w:tabs>
                <w:tab w:val="clear" w:pos="0"/>
              </w:tabs>
              <w:spacing w:before="31" w:after="31"/>
              <w:rPr>
                <w:rFonts w:hint="default"/>
                <w:color w:val="000000"/>
              </w:rPr>
            </w:pPr>
          </w:p>
        </w:tc>
        <w:tc>
          <w:tcPr>
            <w:tcW w:w="6041" w:type="dxa"/>
            <w:noWrap/>
            <w:vAlign w:val="center"/>
          </w:tcPr>
          <w:p w14:paraId="166271C1">
            <w:pPr>
              <w:pStyle w:val="88"/>
              <w:spacing w:before="31" w:after="31"/>
              <w:rPr>
                <w:rFonts w:hint="default"/>
                <w:color w:val="000000"/>
              </w:rPr>
            </w:pPr>
            <w:r>
              <w:rPr>
                <w:rFonts w:hint="default"/>
                <w:color w:val="000000"/>
              </w:rPr>
              <w:t>钢丝绳穿绕正确，无干涉；钢丝绳规格符合说明书规定，端部应固结可靠；使用应符合GB5972—2009规定</w:t>
            </w:r>
          </w:p>
        </w:tc>
        <w:tc>
          <w:tcPr>
            <w:tcW w:w="1229" w:type="dxa"/>
            <w:noWrap/>
            <w:vAlign w:val="center"/>
          </w:tcPr>
          <w:p w14:paraId="31864F92">
            <w:pPr>
              <w:pStyle w:val="88"/>
              <w:spacing w:before="31" w:after="31"/>
              <w:rPr>
                <w:rFonts w:hint="default"/>
                <w:color w:val="000000"/>
              </w:rPr>
            </w:pPr>
          </w:p>
        </w:tc>
      </w:tr>
      <w:tr w14:paraId="70C4E26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300DCC01">
            <w:pPr>
              <w:pStyle w:val="88"/>
              <w:spacing w:before="31" w:after="31"/>
              <w:rPr>
                <w:rFonts w:hint="default"/>
                <w:color w:val="000000"/>
              </w:rPr>
            </w:pPr>
          </w:p>
        </w:tc>
        <w:tc>
          <w:tcPr>
            <w:tcW w:w="513" w:type="dxa"/>
            <w:noWrap/>
            <w:vAlign w:val="center"/>
          </w:tcPr>
          <w:p w14:paraId="11AB84A2">
            <w:pPr>
              <w:pStyle w:val="88"/>
              <w:numPr>
                <w:ilvl w:val="0"/>
                <w:numId w:val="9"/>
              </w:numPr>
              <w:tabs>
                <w:tab w:val="clear" w:pos="0"/>
              </w:tabs>
              <w:spacing w:before="31" w:after="31"/>
              <w:rPr>
                <w:rFonts w:hint="default"/>
                <w:color w:val="000000"/>
              </w:rPr>
            </w:pPr>
          </w:p>
        </w:tc>
        <w:tc>
          <w:tcPr>
            <w:tcW w:w="6041" w:type="dxa"/>
            <w:noWrap/>
            <w:vAlign w:val="center"/>
          </w:tcPr>
          <w:p w14:paraId="1CD02BE3">
            <w:pPr>
              <w:pStyle w:val="88"/>
              <w:spacing w:before="31" w:after="31"/>
              <w:rPr>
                <w:rFonts w:hint="default"/>
                <w:color w:val="000000"/>
              </w:rPr>
            </w:pPr>
            <w:r>
              <w:rPr>
                <w:rFonts w:hint="default"/>
                <w:color w:val="000000"/>
              </w:rPr>
              <w:t>制动器不应有裂纹、过度磨损、塑性变形、缺件等缺陷，调整适宜，制动平稳可靠</w:t>
            </w:r>
          </w:p>
        </w:tc>
        <w:tc>
          <w:tcPr>
            <w:tcW w:w="1229" w:type="dxa"/>
            <w:noWrap/>
            <w:vAlign w:val="center"/>
          </w:tcPr>
          <w:p w14:paraId="2D155D9E">
            <w:pPr>
              <w:pStyle w:val="88"/>
              <w:spacing w:before="31" w:after="31"/>
              <w:rPr>
                <w:rFonts w:hint="default"/>
                <w:color w:val="000000"/>
              </w:rPr>
            </w:pPr>
          </w:p>
        </w:tc>
      </w:tr>
      <w:tr w14:paraId="7291BCF5">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55674142">
            <w:pPr>
              <w:pStyle w:val="88"/>
              <w:spacing w:before="31" w:after="31"/>
              <w:rPr>
                <w:rFonts w:hint="default"/>
                <w:color w:val="000000"/>
              </w:rPr>
            </w:pPr>
          </w:p>
        </w:tc>
        <w:tc>
          <w:tcPr>
            <w:tcW w:w="513" w:type="dxa"/>
            <w:noWrap/>
            <w:vAlign w:val="center"/>
          </w:tcPr>
          <w:p w14:paraId="44132E2C">
            <w:pPr>
              <w:pStyle w:val="88"/>
              <w:numPr>
                <w:ilvl w:val="0"/>
                <w:numId w:val="9"/>
              </w:numPr>
              <w:tabs>
                <w:tab w:val="clear" w:pos="0"/>
              </w:tabs>
              <w:spacing w:before="31" w:after="31"/>
              <w:rPr>
                <w:rFonts w:hint="default"/>
                <w:color w:val="000000"/>
              </w:rPr>
            </w:pPr>
          </w:p>
        </w:tc>
        <w:tc>
          <w:tcPr>
            <w:tcW w:w="6041" w:type="dxa"/>
            <w:noWrap/>
            <w:vAlign w:val="center"/>
          </w:tcPr>
          <w:p w14:paraId="4F0DBDEF">
            <w:pPr>
              <w:pStyle w:val="88"/>
              <w:spacing w:before="31" w:after="31"/>
              <w:rPr>
                <w:rFonts w:hint="default"/>
                <w:color w:val="000000"/>
              </w:rPr>
            </w:pPr>
            <w:r>
              <w:rPr>
                <w:rFonts w:hint="default"/>
                <w:color w:val="000000"/>
              </w:rPr>
              <w:t>传动装置固定牢固，运行平稳</w:t>
            </w:r>
          </w:p>
        </w:tc>
        <w:tc>
          <w:tcPr>
            <w:tcW w:w="1229" w:type="dxa"/>
            <w:noWrap/>
            <w:vAlign w:val="center"/>
          </w:tcPr>
          <w:p w14:paraId="41B7A04B">
            <w:pPr>
              <w:pStyle w:val="88"/>
              <w:spacing w:before="31" w:after="31"/>
              <w:rPr>
                <w:rFonts w:hint="default"/>
                <w:color w:val="000000"/>
              </w:rPr>
            </w:pPr>
          </w:p>
        </w:tc>
      </w:tr>
      <w:tr w14:paraId="250682F4">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6878CF31">
            <w:pPr>
              <w:pStyle w:val="88"/>
              <w:spacing w:before="31" w:after="31"/>
              <w:rPr>
                <w:rFonts w:hint="default"/>
                <w:color w:val="000000"/>
              </w:rPr>
            </w:pPr>
          </w:p>
        </w:tc>
        <w:tc>
          <w:tcPr>
            <w:tcW w:w="513" w:type="dxa"/>
            <w:noWrap/>
            <w:vAlign w:val="center"/>
          </w:tcPr>
          <w:p w14:paraId="437AA86E">
            <w:pPr>
              <w:pStyle w:val="88"/>
              <w:numPr>
                <w:ilvl w:val="0"/>
                <w:numId w:val="9"/>
              </w:numPr>
              <w:tabs>
                <w:tab w:val="clear" w:pos="0"/>
              </w:tabs>
              <w:spacing w:before="31" w:after="31"/>
              <w:rPr>
                <w:rFonts w:hint="default"/>
                <w:color w:val="000000"/>
              </w:rPr>
            </w:pPr>
          </w:p>
        </w:tc>
        <w:tc>
          <w:tcPr>
            <w:tcW w:w="6041" w:type="dxa"/>
            <w:noWrap/>
            <w:vAlign w:val="center"/>
          </w:tcPr>
          <w:p w14:paraId="258144AC">
            <w:pPr>
              <w:pStyle w:val="88"/>
              <w:spacing w:before="31" w:after="31"/>
              <w:rPr>
                <w:rFonts w:hint="default"/>
                <w:color w:val="000000"/>
              </w:rPr>
            </w:pPr>
            <w:r>
              <w:rPr>
                <w:rFonts w:hint="default"/>
                <w:color w:val="000000"/>
              </w:rPr>
              <w:t>有可能伤人的活动零部件的防护罩齐全</w:t>
            </w:r>
          </w:p>
        </w:tc>
        <w:tc>
          <w:tcPr>
            <w:tcW w:w="1229" w:type="dxa"/>
            <w:noWrap/>
            <w:vAlign w:val="center"/>
          </w:tcPr>
          <w:p w14:paraId="4C6963E4">
            <w:pPr>
              <w:pStyle w:val="88"/>
              <w:spacing w:before="31" w:after="31"/>
              <w:rPr>
                <w:rFonts w:hint="default"/>
                <w:color w:val="000000"/>
              </w:rPr>
            </w:pPr>
          </w:p>
        </w:tc>
      </w:tr>
      <w:tr w14:paraId="0CF303B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19081441">
            <w:pPr>
              <w:pStyle w:val="88"/>
              <w:spacing w:before="31" w:after="31"/>
              <w:rPr>
                <w:rFonts w:hint="default"/>
                <w:color w:val="000000"/>
              </w:rPr>
            </w:pPr>
            <w:r>
              <w:rPr>
                <w:rFonts w:hint="default"/>
                <w:color w:val="000000"/>
              </w:rPr>
              <w:t>电气系统</w:t>
            </w:r>
          </w:p>
        </w:tc>
        <w:tc>
          <w:tcPr>
            <w:tcW w:w="513" w:type="dxa"/>
            <w:noWrap/>
            <w:vAlign w:val="center"/>
          </w:tcPr>
          <w:p w14:paraId="751F00BF">
            <w:pPr>
              <w:pStyle w:val="88"/>
              <w:numPr>
                <w:ilvl w:val="0"/>
                <w:numId w:val="9"/>
              </w:numPr>
              <w:tabs>
                <w:tab w:val="clear" w:pos="0"/>
              </w:tabs>
              <w:spacing w:before="31" w:after="31"/>
              <w:rPr>
                <w:rFonts w:hint="default"/>
                <w:color w:val="000000"/>
              </w:rPr>
            </w:pPr>
          </w:p>
        </w:tc>
        <w:tc>
          <w:tcPr>
            <w:tcW w:w="6041" w:type="dxa"/>
            <w:noWrap/>
            <w:vAlign w:val="center"/>
          </w:tcPr>
          <w:p w14:paraId="5E4B2AD0">
            <w:pPr>
              <w:pStyle w:val="88"/>
              <w:spacing w:before="31" w:after="31"/>
              <w:rPr>
                <w:rFonts w:hint="default"/>
                <w:color w:val="000000"/>
              </w:rPr>
            </w:pPr>
            <w:r>
              <w:rPr>
                <w:rFonts w:hint="default"/>
                <w:color w:val="000000"/>
              </w:rPr>
              <w:t>仪表、照明、报警系统完好、可靠；控制、操纵装置动作灵活、可靠</w:t>
            </w:r>
          </w:p>
        </w:tc>
        <w:tc>
          <w:tcPr>
            <w:tcW w:w="1229" w:type="dxa"/>
            <w:noWrap/>
            <w:vAlign w:val="center"/>
          </w:tcPr>
          <w:p w14:paraId="2F9F7659">
            <w:pPr>
              <w:pStyle w:val="88"/>
              <w:spacing w:before="31" w:after="31"/>
              <w:rPr>
                <w:rFonts w:hint="default"/>
                <w:color w:val="000000"/>
              </w:rPr>
            </w:pPr>
          </w:p>
        </w:tc>
      </w:tr>
      <w:tr w14:paraId="50AB2381">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2640EC16">
            <w:pPr>
              <w:pStyle w:val="88"/>
              <w:spacing w:before="31" w:after="31"/>
              <w:rPr>
                <w:rFonts w:hint="default"/>
                <w:color w:val="000000"/>
              </w:rPr>
            </w:pPr>
          </w:p>
        </w:tc>
        <w:tc>
          <w:tcPr>
            <w:tcW w:w="513" w:type="dxa"/>
            <w:noWrap/>
            <w:vAlign w:val="center"/>
          </w:tcPr>
          <w:p w14:paraId="2941B797">
            <w:pPr>
              <w:pStyle w:val="88"/>
              <w:numPr>
                <w:ilvl w:val="0"/>
                <w:numId w:val="9"/>
              </w:numPr>
              <w:tabs>
                <w:tab w:val="clear" w:pos="0"/>
              </w:tabs>
              <w:spacing w:before="31" w:after="31"/>
              <w:rPr>
                <w:rFonts w:hint="default"/>
                <w:color w:val="000000"/>
              </w:rPr>
            </w:pPr>
          </w:p>
        </w:tc>
        <w:tc>
          <w:tcPr>
            <w:tcW w:w="6041" w:type="dxa"/>
            <w:noWrap/>
            <w:vAlign w:val="center"/>
          </w:tcPr>
          <w:p w14:paraId="09326D9B">
            <w:pPr>
              <w:pStyle w:val="88"/>
              <w:spacing w:before="31" w:after="31"/>
              <w:rPr>
                <w:rFonts w:hint="default"/>
                <w:color w:val="000000"/>
              </w:rPr>
            </w:pPr>
            <w:r>
              <w:rPr>
                <w:rFonts w:hint="default"/>
                <w:color w:val="000000"/>
              </w:rPr>
              <w:t>短路、过电流、失压及零位保护灵敏可靠</w:t>
            </w:r>
          </w:p>
        </w:tc>
        <w:tc>
          <w:tcPr>
            <w:tcW w:w="1229" w:type="dxa"/>
            <w:noWrap/>
            <w:vAlign w:val="center"/>
          </w:tcPr>
          <w:p w14:paraId="1DFAB275">
            <w:pPr>
              <w:pStyle w:val="88"/>
              <w:spacing w:before="31" w:after="31"/>
              <w:rPr>
                <w:rFonts w:hint="default"/>
                <w:color w:val="000000"/>
              </w:rPr>
            </w:pPr>
          </w:p>
        </w:tc>
      </w:tr>
      <w:tr w14:paraId="118EFDE3">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2B07C480">
            <w:pPr>
              <w:pStyle w:val="88"/>
              <w:spacing w:before="31" w:after="31"/>
              <w:rPr>
                <w:rFonts w:hint="default"/>
                <w:color w:val="000000"/>
              </w:rPr>
            </w:pPr>
          </w:p>
        </w:tc>
        <w:tc>
          <w:tcPr>
            <w:tcW w:w="513" w:type="dxa"/>
            <w:noWrap/>
            <w:vAlign w:val="center"/>
          </w:tcPr>
          <w:p w14:paraId="71B5D7C1">
            <w:pPr>
              <w:pStyle w:val="88"/>
              <w:numPr>
                <w:ilvl w:val="0"/>
                <w:numId w:val="9"/>
              </w:numPr>
              <w:tabs>
                <w:tab w:val="clear" w:pos="0"/>
              </w:tabs>
              <w:spacing w:before="31" w:after="31"/>
              <w:rPr>
                <w:rFonts w:hint="default"/>
                <w:color w:val="000000"/>
              </w:rPr>
            </w:pPr>
          </w:p>
        </w:tc>
        <w:tc>
          <w:tcPr>
            <w:tcW w:w="6041" w:type="dxa"/>
            <w:noWrap/>
            <w:vAlign w:val="center"/>
          </w:tcPr>
          <w:p w14:paraId="34B4D163">
            <w:pPr>
              <w:pStyle w:val="88"/>
              <w:spacing w:before="31" w:after="31"/>
              <w:rPr>
                <w:rFonts w:hint="default"/>
                <w:color w:val="000000"/>
              </w:rPr>
            </w:pPr>
            <w:r>
              <w:rPr>
                <w:rFonts w:hint="default"/>
                <w:color w:val="000000"/>
              </w:rPr>
              <w:t>切断总电源的急停开关应为非自动复位型，可靠有效</w:t>
            </w:r>
          </w:p>
        </w:tc>
        <w:tc>
          <w:tcPr>
            <w:tcW w:w="1229" w:type="dxa"/>
            <w:noWrap/>
            <w:vAlign w:val="center"/>
          </w:tcPr>
          <w:p w14:paraId="6D64EC46">
            <w:pPr>
              <w:pStyle w:val="88"/>
              <w:spacing w:before="31" w:after="31"/>
              <w:rPr>
                <w:rFonts w:hint="default"/>
                <w:color w:val="000000"/>
              </w:rPr>
            </w:pPr>
          </w:p>
        </w:tc>
      </w:tr>
      <w:tr w14:paraId="4D8706DA">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086B1F4B">
            <w:pPr>
              <w:pStyle w:val="88"/>
              <w:spacing w:before="31" w:after="31"/>
              <w:rPr>
                <w:rFonts w:hint="default"/>
                <w:color w:val="000000"/>
              </w:rPr>
            </w:pPr>
          </w:p>
        </w:tc>
        <w:tc>
          <w:tcPr>
            <w:tcW w:w="513" w:type="dxa"/>
            <w:noWrap/>
            <w:vAlign w:val="center"/>
          </w:tcPr>
          <w:p w14:paraId="1F3FD78C">
            <w:pPr>
              <w:pStyle w:val="88"/>
              <w:numPr>
                <w:ilvl w:val="0"/>
                <w:numId w:val="9"/>
              </w:numPr>
              <w:tabs>
                <w:tab w:val="clear" w:pos="0"/>
              </w:tabs>
              <w:spacing w:before="31" w:after="31"/>
              <w:rPr>
                <w:rFonts w:hint="default"/>
                <w:color w:val="000000"/>
              </w:rPr>
            </w:pPr>
          </w:p>
        </w:tc>
        <w:tc>
          <w:tcPr>
            <w:tcW w:w="6041" w:type="dxa"/>
            <w:noWrap/>
            <w:vAlign w:val="center"/>
          </w:tcPr>
          <w:p w14:paraId="41F744D6">
            <w:pPr>
              <w:pStyle w:val="88"/>
              <w:spacing w:before="31" w:after="31"/>
              <w:rPr>
                <w:rFonts w:hint="default"/>
                <w:color w:val="000000"/>
              </w:rPr>
            </w:pPr>
            <w:r>
              <w:rPr>
                <w:rFonts w:hint="default"/>
                <w:color w:val="000000"/>
              </w:rPr>
              <w:t>主电路和控制电路的对地绝缘电阻≥0.5MΩ</w:t>
            </w:r>
          </w:p>
        </w:tc>
        <w:tc>
          <w:tcPr>
            <w:tcW w:w="1229" w:type="dxa"/>
            <w:noWrap/>
            <w:vAlign w:val="center"/>
          </w:tcPr>
          <w:p w14:paraId="7F257527">
            <w:pPr>
              <w:pStyle w:val="88"/>
              <w:spacing w:before="31" w:after="31"/>
              <w:rPr>
                <w:rFonts w:hint="default"/>
                <w:color w:val="000000"/>
              </w:rPr>
            </w:pPr>
          </w:p>
        </w:tc>
      </w:tr>
      <w:tr w14:paraId="1491BD0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195352C6">
            <w:pPr>
              <w:pStyle w:val="88"/>
              <w:spacing w:before="31" w:after="31"/>
              <w:rPr>
                <w:rFonts w:hint="default"/>
                <w:color w:val="000000"/>
              </w:rPr>
            </w:pPr>
          </w:p>
        </w:tc>
        <w:tc>
          <w:tcPr>
            <w:tcW w:w="513" w:type="dxa"/>
            <w:noWrap/>
            <w:vAlign w:val="center"/>
          </w:tcPr>
          <w:p w14:paraId="265C231F">
            <w:pPr>
              <w:pStyle w:val="88"/>
              <w:numPr>
                <w:ilvl w:val="0"/>
                <w:numId w:val="9"/>
              </w:numPr>
              <w:tabs>
                <w:tab w:val="clear" w:pos="0"/>
              </w:tabs>
              <w:spacing w:before="31" w:after="31"/>
              <w:rPr>
                <w:rFonts w:hint="default"/>
                <w:color w:val="000000"/>
              </w:rPr>
            </w:pPr>
          </w:p>
        </w:tc>
        <w:tc>
          <w:tcPr>
            <w:tcW w:w="6041" w:type="dxa"/>
            <w:noWrap/>
            <w:vAlign w:val="center"/>
          </w:tcPr>
          <w:p w14:paraId="21C2C4EC">
            <w:pPr>
              <w:pStyle w:val="88"/>
              <w:spacing w:before="31" w:after="31"/>
              <w:rPr>
                <w:rFonts w:hint="default"/>
                <w:color w:val="000000"/>
              </w:rPr>
            </w:pPr>
            <w:r>
              <w:rPr>
                <w:rFonts w:hint="default"/>
                <w:color w:val="000000"/>
              </w:rPr>
              <w:t>声响信号完好</w:t>
            </w:r>
          </w:p>
        </w:tc>
        <w:tc>
          <w:tcPr>
            <w:tcW w:w="1229" w:type="dxa"/>
            <w:noWrap/>
            <w:vAlign w:val="center"/>
          </w:tcPr>
          <w:p w14:paraId="5FAA8907">
            <w:pPr>
              <w:pStyle w:val="88"/>
              <w:spacing w:before="31" w:after="31"/>
              <w:rPr>
                <w:rFonts w:hint="default"/>
                <w:color w:val="000000"/>
              </w:rPr>
            </w:pPr>
          </w:p>
        </w:tc>
      </w:tr>
      <w:tr w14:paraId="3874BF42">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2FFF3924">
            <w:pPr>
              <w:pStyle w:val="88"/>
              <w:spacing w:before="31" w:after="31"/>
              <w:rPr>
                <w:rFonts w:hint="default"/>
                <w:color w:val="000000"/>
              </w:rPr>
            </w:pPr>
          </w:p>
        </w:tc>
        <w:tc>
          <w:tcPr>
            <w:tcW w:w="513" w:type="dxa"/>
            <w:noWrap/>
            <w:vAlign w:val="center"/>
          </w:tcPr>
          <w:p w14:paraId="0A632ED1">
            <w:pPr>
              <w:pStyle w:val="88"/>
              <w:numPr>
                <w:ilvl w:val="0"/>
                <w:numId w:val="9"/>
              </w:numPr>
              <w:tabs>
                <w:tab w:val="clear" w:pos="0"/>
              </w:tabs>
              <w:spacing w:before="31" w:after="31"/>
              <w:rPr>
                <w:rFonts w:hint="default"/>
                <w:color w:val="000000"/>
              </w:rPr>
            </w:pPr>
          </w:p>
        </w:tc>
        <w:tc>
          <w:tcPr>
            <w:tcW w:w="6041" w:type="dxa"/>
            <w:noWrap/>
            <w:vAlign w:val="center"/>
          </w:tcPr>
          <w:p w14:paraId="2F82A1E7">
            <w:pPr>
              <w:pStyle w:val="88"/>
              <w:spacing w:before="31" w:after="31"/>
              <w:rPr>
                <w:rFonts w:hint="default"/>
                <w:color w:val="000000"/>
              </w:rPr>
            </w:pPr>
            <w:r>
              <w:rPr>
                <w:rFonts w:hint="default"/>
                <w:color w:val="000000"/>
              </w:rPr>
              <w:t>专用开关箱单独设置并有警示标志</w:t>
            </w:r>
          </w:p>
        </w:tc>
        <w:tc>
          <w:tcPr>
            <w:tcW w:w="1229" w:type="dxa"/>
            <w:noWrap/>
            <w:vAlign w:val="center"/>
          </w:tcPr>
          <w:p w14:paraId="76F8092D">
            <w:pPr>
              <w:pStyle w:val="88"/>
              <w:spacing w:before="31" w:after="31"/>
              <w:rPr>
                <w:rFonts w:hint="default"/>
                <w:color w:val="000000"/>
              </w:rPr>
            </w:pPr>
          </w:p>
        </w:tc>
      </w:tr>
      <w:tr w14:paraId="5D54295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PrEx>
        <w:trPr>
          <w:trHeight w:val="454" w:hRule="atLeast"/>
          <w:jc w:val="center"/>
        </w:trPr>
        <w:tc>
          <w:tcPr>
            <w:tcW w:w="721" w:type="dxa"/>
            <w:vMerge w:val="continue"/>
            <w:noWrap/>
            <w:vAlign w:val="top"/>
          </w:tcPr>
          <w:p w14:paraId="612C01E2">
            <w:pPr>
              <w:pStyle w:val="88"/>
              <w:spacing w:before="31" w:after="31"/>
              <w:rPr>
                <w:rFonts w:hint="default"/>
                <w:color w:val="000000"/>
              </w:rPr>
            </w:pPr>
          </w:p>
        </w:tc>
        <w:tc>
          <w:tcPr>
            <w:tcW w:w="513" w:type="dxa"/>
            <w:noWrap/>
            <w:vAlign w:val="center"/>
          </w:tcPr>
          <w:p w14:paraId="097ED908">
            <w:pPr>
              <w:pStyle w:val="88"/>
              <w:numPr>
                <w:ilvl w:val="0"/>
                <w:numId w:val="9"/>
              </w:numPr>
              <w:tabs>
                <w:tab w:val="clear" w:pos="0"/>
              </w:tabs>
              <w:spacing w:before="31" w:after="31"/>
              <w:rPr>
                <w:rFonts w:hint="default"/>
                <w:color w:val="000000"/>
              </w:rPr>
            </w:pPr>
          </w:p>
        </w:tc>
        <w:tc>
          <w:tcPr>
            <w:tcW w:w="6041" w:type="dxa"/>
            <w:noWrap/>
            <w:vAlign w:val="center"/>
          </w:tcPr>
          <w:p w14:paraId="67C30449">
            <w:pPr>
              <w:pStyle w:val="88"/>
              <w:spacing w:before="31" w:after="31"/>
              <w:rPr>
                <w:rFonts w:hint="default"/>
                <w:color w:val="000000"/>
              </w:rPr>
            </w:pPr>
            <w:r>
              <w:rPr>
                <w:rFonts w:hint="default"/>
                <w:color w:val="000000"/>
              </w:rPr>
              <w:t>电缆无破损，老化，与金属接触处有绝缘材料隔离</w:t>
            </w:r>
          </w:p>
        </w:tc>
        <w:tc>
          <w:tcPr>
            <w:tcW w:w="1229" w:type="dxa"/>
            <w:noWrap/>
            <w:vAlign w:val="center"/>
          </w:tcPr>
          <w:p w14:paraId="472D297E">
            <w:pPr>
              <w:pStyle w:val="88"/>
              <w:spacing w:before="31" w:after="31"/>
              <w:rPr>
                <w:rFonts w:hint="default"/>
                <w:color w:val="000000"/>
              </w:rPr>
            </w:pPr>
          </w:p>
        </w:tc>
      </w:tr>
      <w:tr w14:paraId="3CC95AA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0C97CB4B">
            <w:pPr>
              <w:pStyle w:val="88"/>
              <w:spacing w:before="31" w:after="31"/>
              <w:rPr>
                <w:rFonts w:hint="default"/>
                <w:color w:val="000000"/>
              </w:rPr>
            </w:pPr>
          </w:p>
        </w:tc>
        <w:tc>
          <w:tcPr>
            <w:tcW w:w="513" w:type="dxa"/>
            <w:noWrap/>
            <w:vAlign w:val="center"/>
          </w:tcPr>
          <w:p w14:paraId="1534DB92">
            <w:pPr>
              <w:pStyle w:val="88"/>
              <w:numPr>
                <w:ilvl w:val="0"/>
                <w:numId w:val="9"/>
              </w:numPr>
              <w:tabs>
                <w:tab w:val="clear" w:pos="0"/>
              </w:tabs>
              <w:spacing w:before="31" w:after="31"/>
              <w:rPr>
                <w:rFonts w:hint="default"/>
                <w:color w:val="000000"/>
              </w:rPr>
            </w:pPr>
          </w:p>
        </w:tc>
        <w:tc>
          <w:tcPr>
            <w:tcW w:w="6041" w:type="dxa"/>
            <w:noWrap/>
            <w:vAlign w:val="center"/>
          </w:tcPr>
          <w:p w14:paraId="5D70D690">
            <w:pPr>
              <w:pStyle w:val="88"/>
              <w:spacing w:before="31" w:after="31"/>
              <w:rPr>
                <w:rFonts w:hint="default"/>
                <w:color w:val="000000"/>
              </w:rPr>
            </w:pPr>
            <w:r>
              <w:rPr>
                <w:rFonts w:hint="default"/>
                <w:color w:val="000000"/>
              </w:rPr>
              <w:t>臂根铰点高于50m时应设置风速仪</w:t>
            </w:r>
          </w:p>
        </w:tc>
        <w:tc>
          <w:tcPr>
            <w:tcW w:w="1229" w:type="dxa"/>
            <w:noWrap/>
            <w:vAlign w:val="center"/>
          </w:tcPr>
          <w:p w14:paraId="448340C1">
            <w:pPr>
              <w:pStyle w:val="88"/>
              <w:spacing w:before="31" w:after="31"/>
              <w:rPr>
                <w:rFonts w:hint="default"/>
                <w:color w:val="000000"/>
              </w:rPr>
            </w:pPr>
          </w:p>
        </w:tc>
      </w:tr>
      <w:tr w14:paraId="7183652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4910506E">
            <w:pPr>
              <w:pStyle w:val="88"/>
              <w:spacing w:before="31" w:after="31"/>
              <w:rPr>
                <w:rFonts w:hint="default"/>
                <w:color w:val="000000"/>
              </w:rPr>
            </w:pPr>
            <w:r>
              <w:rPr>
                <w:rFonts w:hint="default"/>
                <w:color w:val="000000"/>
              </w:rPr>
              <w:t>司机室</w:t>
            </w:r>
          </w:p>
        </w:tc>
        <w:tc>
          <w:tcPr>
            <w:tcW w:w="513" w:type="dxa"/>
            <w:noWrap/>
            <w:vAlign w:val="center"/>
          </w:tcPr>
          <w:p w14:paraId="2F8C44B7">
            <w:pPr>
              <w:pStyle w:val="88"/>
              <w:numPr>
                <w:ilvl w:val="0"/>
                <w:numId w:val="9"/>
              </w:numPr>
              <w:tabs>
                <w:tab w:val="clear" w:pos="0"/>
              </w:tabs>
              <w:spacing w:before="31" w:after="31"/>
              <w:rPr>
                <w:rFonts w:hint="default"/>
                <w:color w:val="000000"/>
              </w:rPr>
            </w:pPr>
          </w:p>
        </w:tc>
        <w:tc>
          <w:tcPr>
            <w:tcW w:w="6041" w:type="dxa"/>
            <w:noWrap/>
            <w:vAlign w:val="center"/>
          </w:tcPr>
          <w:p w14:paraId="72FE22C0">
            <w:pPr>
              <w:pStyle w:val="88"/>
              <w:spacing w:before="31" w:after="31"/>
              <w:rPr>
                <w:rFonts w:hint="default"/>
                <w:color w:val="000000"/>
              </w:rPr>
            </w:pPr>
            <w:r>
              <w:rPr>
                <w:rFonts w:hint="default"/>
                <w:color w:val="000000"/>
              </w:rPr>
              <w:t>性能标牌（显示屏）齐全，清晰</w:t>
            </w:r>
          </w:p>
        </w:tc>
        <w:tc>
          <w:tcPr>
            <w:tcW w:w="1229" w:type="dxa"/>
            <w:noWrap/>
            <w:vAlign w:val="center"/>
          </w:tcPr>
          <w:p w14:paraId="3A0489FC">
            <w:pPr>
              <w:pStyle w:val="88"/>
              <w:spacing w:before="31" w:after="31"/>
              <w:rPr>
                <w:rFonts w:hint="default"/>
                <w:color w:val="000000"/>
              </w:rPr>
            </w:pPr>
          </w:p>
        </w:tc>
      </w:tr>
      <w:tr w14:paraId="1DFBD95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136E9FE4">
            <w:pPr>
              <w:pStyle w:val="88"/>
              <w:spacing w:before="31" w:after="31"/>
              <w:rPr>
                <w:rFonts w:hint="default"/>
                <w:color w:val="000000"/>
              </w:rPr>
            </w:pPr>
          </w:p>
        </w:tc>
        <w:tc>
          <w:tcPr>
            <w:tcW w:w="513" w:type="dxa"/>
            <w:noWrap/>
            <w:vAlign w:val="center"/>
          </w:tcPr>
          <w:p w14:paraId="5A960EDB">
            <w:pPr>
              <w:pStyle w:val="88"/>
              <w:numPr>
                <w:ilvl w:val="0"/>
                <w:numId w:val="9"/>
              </w:numPr>
              <w:tabs>
                <w:tab w:val="clear" w:pos="0"/>
              </w:tabs>
              <w:spacing w:before="31" w:after="31"/>
              <w:rPr>
                <w:rFonts w:hint="default"/>
                <w:color w:val="000000"/>
              </w:rPr>
            </w:pPr>
          </w:p>
        </w:tc>
        <w:tc>
          <w:tcPr>
            <w:tcW w:w="6041" w:type="dxa"/>
            <w:noWrap/>
            <w:vAlign w:val="center"/>
          </w:tcPr>
          <w:p w14:paraId="2D24C5DC">
            <w:pPr>
              <w:pStyle w:val="88"/>
              <w:spacing w:before="31" w:after="31"/>
              <w:rPr>
                <w:rFonts w:hint="default"/>
                <w:color w:val="000000"/>
              </w:rPr>
            </w:pPr>
            <w:r>
              <w:rPr>
                <w:rFonts w:hint="default"/>
                <w:color w:val="000000"/>
              </w:rPr>
              <w:t>门窗、绝缘地板及灭火器等附属设施齐全，有效</w:t>
            </w:r>
          </w:p>
        </w:tc>
        <w:tc>
          <w:tcPr>
            <w:tcW w:w="1229" w:type="dxa"/>
            <w:noWrap/>
            <w:vAlign w:val="center"/>
          </w:tcPr>
          <w:p w14:paraId="094F5E94">
            <w:pPr>
              <w:pStyle w:val="88"/>
              <w:spacing w:before="31" w:after="31"/>
              <w:rPr>
                <w:rFonts w:hint="default"/>
                <w:color w:val="000000"/>
              </w:rPr>
            </w:pPr>
          </w:p>
        </w:tc>
      </w:tr>
    </w:tbl>
    <w:p w14:paraId="46A520A2">
      <w:pPr>
        <w:pStyle w:val="3"/>
        <w:rPr>
          <w:color w:val="000000"/>
        </w:rPr>
      </w:pPr>
      <w:bookmarkStart w:id="104" w:name="_Toc21699"/>
      <w:bookmarkStart w:id="105" w:name="_Toc11653"/>
      <w:bookmarkStart w:id="106" w:name="_Toc13306"/>
      <w:r>
        <w:rPr>
          <w:rFonts w:hint="eastAsia"/>
          <w:color w:val="000000"/>
        </w:rPr>
        <w:t xml:space="preserve"> </w:t>
      </w:r>
      <w:bookmarkStart w:id="107" w:name="_Toc29981"/>
      <w:r>
        <w:rPr>
          <w:rFonts w:hint="eastAsia"/>
          <w:color w:val="000000"/>
        </w:rPr>
        <w:t>塔式起重机拆除前的准备工作</w:t>
      </w:r>
      <w:bookmarkEnd w:id="107"/>
    </w:p>
    <w:p w14:paraId="245E47E3">
      <w:pPr>
        <w:rPr>
          <w:color w:val="000000"/>
        </w:rPr>
      </w:pPr>
      <w:r>
        <w:rPr>
          <w:rFonts w:hint="eastAsia"/>
          <w:color w:val="000000"/>
        </w:rPr>
        <w:t>1、编制专项施工方案</w:t>
      </w:r>
      <w:r>
        <w:rPr>
          <w:color w:val="000000"/>
        </w:rPr>
        <w:t>：根据</w:t>
      </w:r>
      <w:r>
        <w:rPr>
          <w:rFonts w:hint="eastAsia"/>
          <w:color w:val="000000"/>
        </w:rPr>
        <w:t>塔式起重机</w:t>
      </w:r>
      <w:r>
        <w:rPr>
          <w:color w:val="000000"/>
        </w:rPr>
        <w:t>的型号、结构特点以及现场实际情况，由具有相应资质的专业技术人员编制详细的拆除施工方案。方案中应包括拆除顺序、方法、所需工具和设备、人员分工及安全措施等内容</w:t>
      </w:r>
      <w:r>
        <w:rPr>
          <w:rFonts w:hint="eastAsia"/>
          <w:color w:val="000000"/>
        </w:rPr>
        <w:t>；</w:t>
      </w:r>
    </w:p>
    <w:p w14:paraId="0EB834D9">
      <w:pPr>
        <w:rPr>
          <w:color w:val="000000"/>
        </w:rPr>
      </w:pPr>
      <w:r>
        <w:rPr>
          <w:rFonts w:hint="eastAsia"/>
          <w:color w:val="000000"/>
        </w:rPr>
        <w:t>2、</w:t>
      </w:r>
      <w:r>
        <w:rPr>
          <w:color w:val="000000"/>
        </w:rPr>
        <w:t>审批手续：将编制的专项施工方案报请相关部门审批，并获得施工许可证。确保所有参与拆除的人员均持有有效的特种作业操作证</w:t>
      </w:r>
      <w:r>
        <w:rPr>
          <w:rFonts w:hint="eastAsia"/>
          <w:color w:val="000000"/>
        </w:rPr>
        <w:t>；</w:t>
      </w:r>
    </w:p>
    <w:p w14:paraId="1B6BEDE5">
      <w:pPr>
        <w:rPr>
          <w:color w:val="000000"/>
        </w:rPr>
      </w:pPr>
      <w:r>
        <w:rPr>
          <w:rFonts w:hint="eastAsia"/>
          <w:color w:val="000000"/>
        </w:rPr>
        <w:t>3、</w:t>
      </w:r>
      <w:r>
        <w:rPr>
          <w:color w:val="000000"/>
        </w:rPr>
        <w:t>现场勘查：对拆除现场进行详细的勘查，了解周围环境、地形地貌、交通状况等。评估拆除过程中可能对周边建筑物、设施及人员造成的影响，并制定相应的保护措施</w:t>
      </w:r>
      <w:r>
        <w:rPr>
          <w:rFonts w:hint="eastAsia"/>
          <w:color w:val="000000"/>
        </w:rPr>
        <w:t>；</w:t>
      </w:r>
    </w:p>
    <w:p w14:paraId="7E6FBF7D">
      <w:pPr>
        <w:rPr>
          <w:color w:val="000000"/>
        </w:rPr>
      </w:pPr>
      <w:r>
        <w:rPr>
          <w:rFonts w:hint="eastAsia"/>
          <w:color w:val="000000"/>
        </w:rPr>
        <w:t>4、</w:t>
      </w:r>
      <w:r>
        <w:rPr>
          <w:color w:val="000000"/>
        </w:rPr>
        <w:t>人员培训与安全教育：组织参与拆除工作的人员进行安全教育和技能培训，使其熟悉拆除方案和安全操作规程。明确各岗位人员的职责和任务，确保信息传递畅通无阻</w:t>
      </w:r>
      <w:r>
        <w:rPr>
          <w:rFonts w:hint="eastAsia"/>
          <w:color w:val="000000"/>
        </w:rPr>
        <w:t>；</w:t>
      </w:r>
    </w:p>
    <w:p w14:paraId="4FDF9E0E">
      <w:pPr>
        <w:rPr>
          <w:color w:val="000000"/>
        </w:rPr>
      </w:pPr>
      <w:r>
        <w:rPr>
          <w:rFonts w:hint="eastAsia"/>
          <w:color w:val="000000"/>
        </w:rPr>
        <w:t>5、</w:t>
      </w:r>
      <w:r>
        <w:rPr>
          <w:color w:val="000000"/>
        </w:rPr>
        <w:t>物资准备：准备所需的拆除工具和设备，如扳手、螺丝刀、千斤顶、钢丝绳等。检查并确保所有设备的完好性和可靠性</w:t>
      </w:r>
      <w:r>
        <w:rPr>
          <w:rFonts w:hint="eastAsia"/>
          <w:color w:val="000000"/>
        </w:rPr>
        <w:t>；</w:t>
      </w:r>
    </w:p>
    <w:p w14:paraId="5AF97420">
      <w:pPr>
        <w:rPr>
          <w:color w:val="000000"/>
        </w:rPr>
      </w:pPr>
      <w:r>
        <w:rPr>
          <w:rFonts w:hint="eastAsia"/>
          <w:color w:val="000000"/>
        </w:rPr>
        <w:t>6、</w:t>
      </w:r>
      <w:r>
        <w:rPr>
          <w:color w:val="000000"/>
        </w:rPr>
        <w:t>设置警戒区域：在拆除现场周围设置明显的警戒标志和围挡，防止无关人员进入。安排专人负责警戒区域的监护和管理</w:t>
      </w:r>
      <w:r>
        <w:rPr>
          <w:rFonts w:hint="eastAsia"/>
          <w:color w:val="000000"/>
        </w:rPr>
        <w:t>；</w:t>
      </w:r>
    </w:p>
    <w:p w14:paraId="5F239D96">
      <w:pPr>
        <w:rPr>
          <w:color w:val="000000"/>
        </w:rPr>
      </w:pPr>
      <w:r>
        <w:rPr>
          <w:rFonts w:hint="eastAsia"/>
          <w:color w:val="000000"/>
        </w:rPr>
        <w:t>6、</w:t>
      </w:r>
      <w:r>
        <w:rPr>
          <w:color w:val="000000"/>
        </w:rPr>
        <w:t>检查</w:t>
      </w:r>
      <w:r>
        <w:rPr>
          <w:rFonts w:hint="eastAsia"/>
          <w:color w:val="000000"/>
        </w:rPr>
        <w:t>塔式起重机</w:t>
      </w:r>
      <w:r>
        <w:rPr>
          <w:color w:val="000000"/>
        </w:rPr>
        <w:t>状态：对</w:t>
      </w:r>
      <w:r>
        <w:rPr>
          <w:rFonts w:hint="eastAsia"/>
          <w:color w:val="000000"/>
        </w:rPr>
        <w:t>塔式起重机</w:t>
      </w:r>
      <w:r>
        <w:rPr>
          <w:color w:val="000000"/>
        </w:rPr>
        <w:t>进行全面的检查和评估，确保其处于良好的工作状态。特别关注塔身、臂架、回转机构、电气系统等关键部位是否存在隐患</w:t>
      </w:r>
      <w:r>
        <w:rPr>
          <w:rFonts w:hint="eastAsia"/>
          <w:color w:val="000000"/>
        </w:rPr>
        <w:t>；</w:t>
      </w:r>
    </w:p>
    <w:p w14:paraId="69FE4E9B">
      <w:pPr>
        <w:rPr>
          <w:color w:val="000000"/>
        </w:rPr>
      </w:pPr>
      <w:r>
        <w:rPr>
          <w:rFonts w:hint="eastAsia"/>
          <w:color w:val="000000"/>
        </w:rPr>
        <w:t>7、</w:t>
      </w:r>
      <w:r>
        <w:rPr>
          <w:color w:val="000000"/>
        </w:rPr>
        <w:t>制定应急预案：针对可能出现的突发情况（如坍塌、火灾、人员伤亡等），制定详细的应急预案。准备必要的应急设备和救援物资，并组织人员进行演练</w:t>
      </w:r>
      <w:r>
        <w:rPr>
          <w:rFonts w:hint="eastAsia"/>
          <w:color w:val="000000"/>
        </w:rPr>
        <w:t>；</w:t>
      </w:r>
    </w:p>
    <w:p w14:paraId="3BB41238">
      <w:pPr>
        <w:rPr>
          <w:color w:val="000000"/>
        </w:rPr>
      </w:pPr>
      <w:r>
        <w:rPr>
          <w:rFonts w:hint="eastAsia"/>
          <w:color w:val="000000"/>
        </w:rPr>
        <w:t>8、</w:t>
      </w:r>
      <w:r>
        <w:rPr>
          <w:color w:val="000000"/>
        </w:rPr>
        <w:t>清理现场：清理</w:t>
      </w:r>
      <w:r>
        <w:rPr>
          <w:rFonts w:hint="eastAsia"/>
          <w:color w:val="000000"/>
        </w:rPr>
        <w:t>塔式起重机</w:t>
      </w:r>
      <w:r>
        <w:rPr>
          <w:color w:val="000000"/>
        </w:rPr>
        <w:t>周边现场，并将现场整平夯实、便于堆放</w:t>
      </w:r>
      <w:r>
        <w:rPr>
          <w:rFonts w:hint="eastAsia"/>
          <w:color w:val="000000"/>
        </w:rPr>
        <w:t>塔式起重机</w:t>
      </w:r>
      <w:r>
        <w:rPr>
          <w:color w:val="000000"/>
        </w:rPr>
        <w:t>构件</w:t>
      </w:r>
      <w:r>
        <w:rPr>
          <w:rFonts w:hint="eastAsia"/>
          <w:color w:val="000000"/>
        </w:rPr>
        <w:t>；</w:t>
      </w:r>
    </w:p>
    <w:p w14:paraId="1827BB8F">
      <w:pPr>
        <w:ind w:firstLine="562"/>
        <w:rPr>
          <w:b/>
          <w:bCs w:val="0"/>
          <w:color w:val="000000"/>
        </w:rPr>
      </w:pPr>
      <w:r>
        <w:rPr>
          <w:rFonts w:hint="eastAsia"/>
          <w:b/>
          <w:bCs w:val="0"/>
          <w:color w:val="000000"/>
        </w:rPr>
        <w:t>塔式起重机拆除前对整机进行验收</w:t>
      </w:r>
      <w:r>
        <w:rPr>
          <w:b/>
          <w:bCs w:val="0"/>
          <w:color w:val="000000"/>
        </w:rPr>
        <w:t>，确保拆除过程的安全性和效率性。</w:t>
      </w:r>
    </w:p>
    <w:p w14:paraId="5ACBB012">
      <w:pPr>
        <w:pStyle w:val="3"/>
        <w:rPr>
          <w:color w:val="000000"/>
        </w:rPr>
      </w:pPr>
      <w:bookmarkStart w:id="108" w:name="_Toc29824"/>
      <w:r>
        <w:rPr>
          <w:rFonts w:hint="eastAsia"/>
          <w:color w:val="000000"/>
        </w:rPr>
        <w:t>.检查内容</w:t>
      </w:r>
      <w:bookmarkEnd w:id="104"/>
      <w:bookmarkEnd w:id="105"/>
      <w:bookmarkEnd w:id="106"/>
      <w:bookmarkEnd w:id="108"/>
    </w:p>
    <w:p w14:paraId="57BAA5D5">
      <w:pPr>
        <w:rPr>
          <w:color w:val="000000"/>
        </w:rPr>
      </w:pPr>
      <w:r>
        <w:rPr>
          <w:rFonts w:hint="eastAsia"/>
          <w:color w:val="000000"/>
        </w:rPr>
        <w:t>1)塔机拆散后由工程技术人员和专业维修人员进行检查；</w:t>
      </w:r>
    </w:p>
    <w:p w14:paraId="66829FB1">
      <w:pPr>
        <w:rPr>
          <w:color w:val="000000"/>
        </w:rPr>
      </w:pPr>
      <w:r>
        <w:rPr>
          <w:rFonts w:hint="eastAsia"/>
          <w:color w:val="000000"/>
        </w:rPr>
        <w:t>2)对主要受力的结构件应检查金属疲劳，焊缝裂纹，结构变形等情况，检查塔机各零部件是否有损坏或碰伤等；</w:t>
      </w:r>
    </w:p>
    <w:p w14:paraId="1E1DF06E">
      <w:pPr>
        <w:rPr>
          <w:color w:val="000000"/>
        </w:rPr>
      </w:pPr>
      <w:r>
        <w:rPr>
          <w:rFonts w:hint="eastAsia"/>
          <w:color w:val="000000"/>
        </w:rPr>
        <w:t>3)检查完毕后，对缺陷、隐患进行修复后，再进行防锈、涂刷处理。</w:t>
      </w:r>
    </w:p>
    <w:p w14:paraId="0E49E89C">
      <w:pPr>
        <w:pStyle w:val="12"/>
        <w:rPr>
          <w:color w:val="000000"/>
        </w:rPr>
      </w:pPr>
      <w:r>
        <w:rPr>
          <w:rFonts w:hint="eastAsia"/>
          <w:color w:val="000000"/>
        </w:rPr>
        <w:t>表9.</w:t>
      </w:r>
      <w:r>
        <w:rPr>
          <w:rFonts w:hint="eastAsia"/>
          <w:color w:val="000000"/>
          <w:lang w:val="en-US" w:eastAsia="zh-CN"/>
        </w:rPr>
        <w:t>4</w:t>
      </w:r>
      <w:r>
        <w:rPr>
          <w:rFonts w:hint="eastAsia"/>
          <w:color w:val="000000"/>
        </w:rPr>
        <w:t>-1塔式起重机拆除验收内容</w:t>
      </w:r>
    </w:p>
    <w:tbl>
      <w:tblPr>
        <w:tblStyle w:val="28"/>
        <w:tblW w:w="0" w:type="auto"/>
        <w:jc w:val="center"/>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Layout w:type="fixed"/>
        <w:tblCellMar>
          <w:top w:w="0" w:type="dxa"/>
          <w:left w:w="108" w:type="dxa"/>
          <w:bottom w:w="0" w:type="dxa"/>
          <w:right w:w="108" w:type="dxa"/>
        </w:tblCellMar>
      </w:tblPr>
      <w:tblGrid>
        <w:gridCol w:w="683"/>
        <w:gridCol w:w="7821"/>
      </w:tblGrid>
      <w:tr w14:paraId="25D77461">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tblHeader/>
          <w:jc w:val="center"/>
        </w:trPr>
        <w:tc>
          <w:tcPr>
            <w:tcW w:w="683" w:type="dxa"/>
            <w:shd w:val="clear" w:color="auto" w:fill="DBEEF3"/>
            <w:noWrap/>
            <w:vAlign w:val="center"/>
          </w:tcPr>
          <w:p w14:paraId="6665D375">
            <w:pPr>
              <w:pStyle w:val="88"/>
              <w:spacing w:before="31" w:after="31"/>
              <w:rPr>
                <w:rFonts w:hint="default"/>
                <w:color w:val="000000"/>
              </w:rPr>
            </w:pPr>
            <w:r>
              <w:rPr>
                <w:color w:val="000000"/>
              </w:rPr>
              <w:t>序号</w:t>
            </w:r>
          </w:p>
        </w:tc>
        <w:tc>
          <w:tcPr>
            <w:tcW w:w="7821" w:type="dxa"/>
            <w:shd w:val="clear" w:color="auto" w:fill="DBEEF3"/>
            <w:noWrap/>
            <w:vAlign w:val="center"/>
          </w:tcPr>
          <w:p w14:paraId="705C55DF">
            <w:pPr>
              <w:pStyle w:val="88"/>
              <w:spacing w:before="31" w:after="31"/>
              <w:rPr>
                <w:rFonts w:hint="default"/>
                <w:color w:val="000000"/>
              </w:rPr>
            </w:pPr>
            <w:r>
              <w:rPr>
                <w:color w:val="000000"/>
              </w:rPr>
              <w:t>内 容</w:t>
            </w:r>
          </w:p>
        </w:tc>
      </w:tr>
      <w:tr w14:paraId="12BFDA52">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72F88E36">
            <w:pPr>
              <w:pStyle w:val="88"/>
              <w:spacing w:before="31" w:after="31"/>
              <w:rPr>
                <w:rFonts w:hint="default"/>
                <w:color w:val="000000"/>
              </w:rPr>
            </w:pPr>
            <w:r>
              <w:rPr>
                <w:color w:val="000000"/>
              </w:rPr>
              <w:t>1</w:t>
            </w:r>
          </w:p>
        </w:tc>
        <w:tc>
          <w:tcPr>
            <w:tcW w:w="7821" w:type="dxa"/>
            <w:noWrap/>
            <w:vAlign w:val="center"/>
          </w:tcPr>
          <w:p w14:paraId="566E721F">
            <w:pPr>
              <w:pStyle w:val="88"/>
              <w:spacing w:before="31" w:after="31"/>
              <w:rPr>
                <w:rFonts w:hint="default"/>
                <w:color w:val="000000"/>
              </w:rPr>
            </w:pPr>
            <w:r>
              <w:rPr>
                <w:color w:val="000000"/>
              </w:rPr>
              <w:t>施工现场塔机的技术资料和安全资料必须齐全。</w:t>
            </w:r>
          </w:p>
        </w:tc>
      </w:tr>
      <w:tr w14:paraId="3FA3228F">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3DEF76D5">
            <w:pPr>
              <w:pStyle w:val="88"/>
              <w:spacing w:before="31" w:after="31"/>
              <w:rPr>
                <w:rFonts w:hint="default"/>
                <w:color w:val="000000"/>
              </w:rPr>
            </w:pPr>
            <w:r>
              <w:rPr>
                <w:color w:val="000000"/>
              </w:rPr>
              <w:t>2</w:t>
            </w:r>
          </w:p>
        </w:tc>
        <w:tc>
          <w:tcPr>
            <w:tcW w:w="7821" w:type="dxa"/>
            <w:noWrap/>
            <w:vAlign w:val="center"/>
          </w:tcPr>
          <w:p w14:paraId="03EC65EE">
            <w:pPr>
              <w:pStyle w:val="88"/>
              <w:spacing w:before="31" w:after="31"/>
              <w:rPr>
                <w:rFonts w:hint="default"/>
                <w:color w:val="000000"/>
              </w:rPr>
            </w:pPr>
            <w:r>
              <w:rPr>
                <w:color w:val="000000"/>
              </w:rPr>
              <w:t>塔机生产许可证、出厂合格证、使用说明书、设备 档案、运转及维修保养记录、安装方案、验收证书、检测检验报告。</w:t>
            </w:r>
          </w:p>
        </w:tc>
      </w:tr>
      <w:tr w14:paraId="217C68D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601015DD">
            <w:pPr>
              <w:pStyle w:val="88"/>
              <w:spacing w:before="31" w:after="31"/>
              <w:rPr>
                <w:rFonts w:hint="default"/>
                <w:color w:val="000000"/>
              </w:rPr>
            </w:pPr>
            <w:r>
              <w:rPr>
                <w:color w:val="000000"/>
              </w:rPr>
              <w:t>3</w:t>
            </w:r>
          </w:p>
        </w:tc>
        <w:tc>
          <w:tcPr>
            <w:tcW w:w="7821" w:type="dxa"/>
            <w:noWrap/>
            <w:vAlign w:val="center"/>
          </w:tcPr>
          <w:p w14:paraId="2526C441">
            <w:pPr>
              <w:pStyle w:val="88"/>
              <w:spacing w:before="31" w:after="31"/>
              <w:rPr>
                <w:rFonts w:hint="default"/>
                <w:color w:val="000000"/>
              </w:rPr>
            </w:pPr>
            <w:r>
              <w:rPr>
                <w:color w:val="000000"/>
              </w:rPr>
              <w:t>拆除队伍资质证书、设备拆除人员、指挥人员、操作人员及其他特种作业人员的操作证和安全上岗证。</w:t>
            </w:r>
          </w:p>
        </w:tc>
      </w:tr>
      <w:tr w14:paraId="27FE3A39">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PrEx>
        <w:trPr>
          <w:trHeight w:val="454" w:hRule="atLeast"/>
          <w:jc w:val="center"/>
        </w:trPr>
        <w:tc>
          <w:tcPr>
            <w:tcW w:w="683" w:type="dxa"/>
            <w:noWrap/>
            <w:vAlign w:val="center"/>
          </w:tcPr>
          <w:p w14:paraId="00F8E0B9">
            <w:pPr>
              <w:pStyle w:val="88"/>
              <w:spacing w:before="31" w:after="31"/>
              <w:rPr>
                <w:rFonts w:hint="default"/>
                <w:color w:val="000000"/>
              </w:rPr>
            </w:pPr>
            <w:r>
              <w:rPr>
                <w:color w:val="000000"/>
              </w:rPr>
              <w:t>4</w:t>
            </w:r>
          </w:p>
        </w:tc>
        <w:tc>
          <w:tcPr>
            <w:tcW w:w="7821" w:type="dxa"/>
            <w:noWrap/>
            <w:vAlign w:val="center"/>
          </w:tcPr>
          <w:p w14:paraId="78CB5A9F">
            <w:pPr>
              <w:pStyle w:val="88"/>
              <w:spacing w:before="31" w:after="31"/>
              <w:rPr>
                <w:rFonts w:hint="default"/>
                <w:color w:val="000000"/>
              </w:rPr>
            </w:pPr>
            <w:r>
              <w:rPr>
                <w:color w:val="000000"/>
              </w:rPr>
              <w:t>塔机处悬挂限载标志牌、安全警示牌、操作规程牌、验收合格牌、定人定机牌。</w:t>
            </w:r>
          </w:p>
        </w:tc>
      </w:tr>
      <w:tr w14:paraId="73177DF2">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63704693">
            <w:pPr>
              <w:pStyle w:val="88"/>
              <w:spacing w:before="31" w:after="31"/>
              <w:rPr>
                <w:rFonts w:hint="default"/>
                <w:color w:val="000000"/>
              </w:rPr>
            </w:pPr>
            <w:r>
              <w:rPr>
                <w:color w:val="000000"/>
              </w:rPr>
              <w:t>5</w:t>
            </w:r>
          </w:p>
        </w:tc>
        <w:tc>
          <w:tcPr>
            <w:tcW w:w="7821" w:type="dxa"/>
            <w:noWrap/>
            <w:vAlign w:val="center"/>
          </w:tcPr>
          <w:p w14:paraId="05DD6800">
            <w:pPr>
              <w:pStyle w:val="88"/>
              <w:spacing w:before="31" w:after="31"/>
              <w:rPr>
                <w:rFonts w:hint="default"/>
                <w:color w:val="000000"/>
              </w:rPr>
            </w:pPr>
            <w:r>
              <w:rPr>
                <w:color w:val="000000"/>
              </w:rPr>
              <w:t>起重吊装及起重机械设备、设施拆除，过程中各工序、节点的验收标准和验收条件</w:t>
            </w:r>
          </w:p>
        </w:tc>
      </w:tr>
      <w:tr w14:paraId="5069B984">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1F62ED2F">
            <w:pPr>
              <w:pStyle w:val="88"/>
              <w:spacing w:before="31" w:after="31"/>
              <w:rPr>
                <w:rFonts w:hint="default"/>
                <w:color w:val="000000"/>
              </w:rPr>
            </w:pPr>
            <w:r>
              <w:rPr>
                <w:color w:val="000000"/>
              </w:rPr>
              <w:t>6</w:t>
            </w:r>
          </w:p>
        </w:tc>
        <w:tc>
          <w:tcPr>
            <w:tcW w:w="7821" w:type="dxa"/>
            <w:noWrap/>
            <w:vAlign w:val="center"/>
          </w:tcPr>
          <w:p w14:paraId="16403D7F">
            <w:pPr>
              <w:pStyle w:val="88"/>
              <w:spacing w:before="31" w:after="31"/>
              <w:rPr>
                <w:rFonts w:hint="default"/>
                <w:color w:val="000000"/>
              </w:rPr>
            </w:pPr>
            <w:r>
              <w:rPr>
                <w:color w:val="000000"/>
              </w:rPr>
              <w:t>退场材料、机械设备、设施验收标准及验收表</w:t>
            </w:r>
          </w:p>
        </w:tc>
      </w:tr>
      <w:tr w14:paraId="1FFC9C6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7B915259">
            <w:pPr>
              <w:pStyle w:val="88"/>
              <w:spacing w:before="31" w:after="31"/>
              <w:rPr>
                <w:rFonts w:hint="default"/>
                <w:color w:val="000000"/>
              </w:rPr>
            </w:pPr>
            <w:r>
              <w:rPr>
                <w:color w:val="000000"/>
              </w:rPr>
              <w:t>7</w:t>
            </w:r>
          </w:p>
        </w:tc>
        <w:tc>
          <w:tcPr>
            <w:tcW w:w="7821" w:type="dxa"/>
            <w:noWrap/>
            <w:vAlign w:val="center"/>
          </w:tcPr>
          <w:p w14:paraId="69EC0609">
            <w:pPr>
              <w:pStyle w:val="88"/>
              <w:spacing w:before="31" w:after="31"/>
              <w:rPr>
                <w:rFonts w:hint="default"/>
                <w:color w:val="000000"/>
              </w:rPr>
            </w:pPr>
            <w:r>
              <w:rPr>
                <w:color w:val="000000"/>
              </w:rPr>
              <w:t>吊装与拆卸作业全过程安全技术控制的关键环节验收</w:t>
            </w:r>
          </w:p>
        </w:tc>
      </w:tr>
      <w:tr w14:paraId="14F841D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2633223D">
            <w:pPr>
              <w:pStyle w:val="88"/>
              <w:spacing w:before="31" w:after="31"/>
              <w:rPr>
                <w:rFonts w:hint="default"/>
                <w:color w:val="000000"/>
              </w:rPr>
            </w:pPr>
            <w:r>
              <w:rPr>
                <w:color w:val="000000"/>
              </w:rPr>
              <w:t>8</w:t>
            </w:r>
          </w:p>
        </w:tc>
        <w:tc>
          <w:tcPr>
            <w:tcW w:w="7821" w:type="dxa"/>
            <w:noWrap/>
            <w:vAlign w:val="center"/>
          </w:tcPr>
          <w:p w14:paraId="72099592">
            <w:pPr>
              <w:pStyle w:val="88"/>
              <w:spacing w:before="31" w:after="31"/>
              <w:rPr>
                <w:rFonts w:hint="default"/>
                <w:color w:val="000000"/>
              </w:rPr>
            </w:pPr>
            <w:r>
              <w:rPr>
                <w:color w:val="000000"/>
              </w:rPr>
              <w:t>汽车吊摆放位置基础承载力满足要求</w:t>
            </w:r>
          </w:p>
        </w:tc>
      </w:tr>
      <w:tr w14:paraId="070C1A54">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3AF4A2E0">
            <w:pPr>
              <w:pStyle w:val="88"/>
              <w:spacing w:before="31" w:after="31"/>
              <w:rPr>
                <w:rFonts w:hint="default"/>
                <w:color w:val="000000"/>
              </w:rPr>
            </w:pPr>
            <w:r>
              <w:rPr>
                <w:color w:val="000000"/>
              </w:rPr>
              <w:t>9</w:t>
            </w:r>
          </w:p>
        </w:tc>
        <w:tc>
          <w:tcPr>
            <w:tcW w:w="7821" w:type="dxa"/>
            <w:noWrap/>
            <w:vAlign w:val="center"/>
          </w:tcPr>
          <w:p w14:paraId="0F6CD9A4">
            <w:pPr>
              <w:pStyle w:val="88"/>
              <w:spacing w:before="31" w:after="31"/>
              <w:rPr>
                <w:rFonts w:hint="default"/>
                <w:color w:val="000000"/>
              </w:rPr>
            </w:pPr>
            <w:r>
              <w:rPr>
                <w:color w:val="000000"/>
              </w:rPr>
              <w:t>汽车吊起重性能满足要求</w:t>
            </w:r>
          </w:p>
        </w:tc>
      </w:tr>
      <w:tr w14:paraId="3E95AC29">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2C73B403">
            <w:pPr>
              <w:pStyle w:val="88"/>
              <w:spacing w:before="31" w:after="31"/>
              <w:rPr>
                <w:rFonts w:hint="default"/>
                <w:color w:val="000000"/>
              </w:rPr>
            </w:pPr>
            <w:r>
              <w:rPr>
                <w:color w:val="000000"/>
              </w:rPr>
              <w:t>10</w:t>
            </w:r>
          </w:p>
        </w:tc>
        <w:tc>
          <w:tcPr>
            <w:tcW w:w="7821" w:type="dxa"/>
            <w:noWrap/>
            <w:vAlign w:val="center"/>
          </w:tcPr>
          <w:p w14:paraId="46086896">
            <w:pPr>
              <w:pStyle w:val="88"/>
              <w:spacing w:before="31" w:after="31"/>
              <w:rPr>
                <w:rFonts w:hint="default"/>
                <w:color w:val="000000"/>
              </w:rPr>
            </w:pPr>
            <w:r>
              <w:rPr>
                <w:color w:val="000000"/>
              </w:rPr>
              <w:t>吊、索、卡、具完好，被吊物重心已确认</w:t>
            </w:r>
          </w:p>
        </w:tc>
      </w:tr>
      <w:tr w14:paraId="6A329581">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36BF9319">
            <w:pPr>
              <w:pStyle w:val="88"/>
              <w:spacing w:before="31" w:after="31"/>
              <w:rPr>
                <w:rFonts w:hint="default"/>
                <w:color w:val="000000"/>
              </w:rPr>
            </w:pPr>
            <w:r>
              <w:rPr>
                <w:color w:val="000000"/>
              </w:rPr>
              <w:t>11</w:t>
            </w:r>
          </w:p>
        </w:tc>
        <w:tc>
          <w:tcPr>
            <w:tcW w:w="7821" w:type="dxa"/>
            <w:noWrap/>
            <w:vAlign w:val="center"/>
          </w:tcPr>
          <w:p w14:paraId="6B9EA935">
            <w:pPr>
              <w:pStyle w:val="88"/>
              <w:spacing w:before="31" w:after="31"/>
              <w:rPr>
                <w:rFonts w:hint="default"/>
                <w:color w:val="000000"/>
              </w:rPr>
            </w:pPr>
            <w:r>
              <w:rPr>
                <w:color w:val="000000"/>
              </w:rPr>
              <w:t>各结构件焊缝强度满足设计要求</w:t>
            </w:r>
          </w:p>
        </w:tc>
      </w:tr>
      <w:tr w14:paraId="1B697C3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683" w:type="dxa"/>
            <w:noWrap/>
            <w:vAlign w:val="center"/>
          </w:tcPr>
          <w:p w14:paraId="5CDF058F">
            <w:pPr>
              <w:pStyle w:val="88"/>
              <w:spacing w:before="31" w:after="31"/>
              <w:rPr>
                <w:rFonts w:hint="default"/>
                <w:color w:val="000000"/>
              </w:rPr>
            </w:pPr>
            <w:r>
              <w:rPr>
                <w:color w:val="000000"/>
              </w:rPr>
              <w:t>12</w:t>
            </w:r>
          </w:p>
        </w:tc>
        <w:tc>
          <w:tcPr>
            <w:tcW w:w="7821" w:type="dxa"/>
            <w:noWrap/>
            <w:vAlign w:val="center"/>
          </w:tcPr>
          <w:p w14:paraId="1F2EDACE">
            <w:pPr>
              <w:pStyle w:val="88"/>
              <w:spacing w:before="31" w:after="31"/>
              <w:rPr>
                <w:rFonts w:hint="default"/>
                <w:color w:val="000000"/>
              </w:rPr>
            </w:pPr>
            <w:r>
              <w:rPr>
                <w:color w:val="000000"/>
              </w:rPr>
              <w:t>吊运轨迹正确，信号指挥方式确定</w:t>
            </w:r>
          </w:p>
        </w:tc>
      </w:tr>
    </w:tbl>
    <w:p w14:paraId="52F6B8F4">
      <w:pPr>
        <w:pStyle w:val="110"/>
        <w:rPr>
          <w:color w:val="000000"/>
        </w:rPr>
      </w:pPr>
      <w:bookmarkStart w:id="109" w:name="_Toc360722866"/>
      <w:r>
        <w:rPr>
          <w:color w:val="000000"/>
        </w:rPr>
        <w:t>表</w:t>
      </w:r>
      <w:r>
        <w:rPr>
          <w:rFonts w:hint="eastAsia"/>
          <w:color w:val="000000"/>
        </w:rPr>
        <w:t>9.</w:t>
      </w:r>
      <w:r>
        <w:rPr>
          <w:rFonts w:hint="eastAsia"/>
          <w:color w:val="000000"/>
          <w:lang w:val="en-US" w:eastAsia="zh-CN"/>
        </w:rPr>
        <w:t>4</w:t>
      </w:r>
      <w:r>
        <w:rPr>
          <w:rFonts w:hint="eastAsia"/>
          <w:color w:val="000000"/>
        </w:rPr>
        <w:t>-2</w:t>
      </w:r>
      <w:r>
        <w:rPr>
          <w:color w:val="000000"/>
        </w:rPr>
        <w:t>塔式起重机</w:t>
      </w:r>
      <w:r>
        <w:rPr>
          <w:rFonts w:hint="eastAsia"/>
          <w:color w:val="000000"/>
        </w:rPr>
        <w:t>拆除</w:t>
      </w:r>
      <w:r>
        <w:rPr>
          <w:color w:val="000000"/>
        </w:rPr>
        <w:t>整体验收表</w:t>
      </w:r>
    </w:p>
    <w:bookmarkEnd w:id="109"/>
    <w:tbl>
      <w:tblPr>
        <w:tblStyle w:val="28"/>
        <w:tblW w:w="0" w:type="auto"/>
        <w:jc w:val="center"/>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Layout w:type="fixed"/>
        <w:tblCellMar>
          <w:top w:w="0" w:type="dxa"/>
          <w:left w:w="108" w:type="dxa"/>
          <w:bottom w:w="0" w:type="dxa"/>
          <w:right w:w="108" w:type="dxa"/>
        </w:tblCellMar>
      </w:tblPr>
      <w:tblGrid>
        <w:gridCol w:w="721"/>
        <w:gridCol w:w="513"/>
        <w:gridCol w:w="6041"/>
        <w:gridCol w:w="1229"/>
      </w:tblGrid>
      <w:tr w14:paraId="72132BEA">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tblHeader/>
          <w:jc w:val="center"/>
        </w:trPr>
        <w:tc>
          <w:tcPr>
            <w:tcW w:w="721" w:type="dxa"/>
            <w:shd w:val="clear" w:color="auto" w:fill="DBEEF3"/>
            <w:noWrap/>
            <w:vAlign w:val="center"/>
          </w:tcPr>
          <w:p w14:paraId="3C1054FB">
            <w:pPr>
              <w:pStyle w:val="88"/>
              <w:spacing w:before="31" w:after="31"/>
              <w:rPr>
                <w:rFonts w:hint="default"/>
                <w:color w:val="000000"/>
              </w:rPr>
            </w:pPr>
            <w:r>
              <w:rPr>
                <w:rFonts w:hint="default"/>
                <w:color w:val="000000"/>
              </w:rPr>
              <w:t>验收项目</w:t>
            </w:r>
          </w:p>
        </w:tc>
        <w:tc>
          <w:tcPr>
            <w:tcW w:w="513" w:type="dxa"/>
            <w:shd w:val="clear" w:color="auto" w:fill="DBEEF3"/>
            <w:noWrap/>
            <w:vAlign w:val="center"/>
          </w:tcPr>
          <w:p w14:paraId="1306D3CE">
            <w:pPr>
              <w:pStyle w:val="88"/>
              <w:spacing w:before="31" w:after="31"/>
              <w:rPr>
                <w:rFonts w:hint="default"/>
                <w:color w:val="000000"/>
              </w:rPr>
            </w:pPr>
            <w:r>
              <w:rPr>
                <w:rFonts w:hint="default"/>
                <w:color w:val="000000"/>
              </w:rPr>
              <w:t>序号</w:t>
            </w:r>
          </w:p>
        </w:tc>
        <w:tc>
          <w:tcPr>
            <w:tcW w:w="6041" w:type="dxa"/>
            <w:shd w:val="clear" w:color="auto" w:fill="DBEEF3"/>
            <w:noWrap/>
            <w:vAlign w:val="center"/>
          </w:tcPr>
          <w:p w14:paraId="7913743D">
            <w:pPr>
              <w:pStyle w:val="88"/>
              <w:spacing w:before="31" w:after="31"/>
              <w:rPr>
                <w:rFonts w:hint="default"/>
                <w:color w:val="000000"/>
              </w:rPr>
            </w:pPr>
            <w:r>
              <w:rPr>
                <w:rFonts w:hint="default"/>
                <w:color w:val="000000"/>
              </w:rPr>
              <w:t>安全技术要求</w:t>
            </w:r>
          </w:p>
        </w:tc>
        <w:tc>
          <w:tcPr>
            <w:tcW w:w="1229" w:type="dxa"/>
            <w:shd w:val="clear" w:color="auto" w:fill="DBEEF3"/>
            <w:noWrap/>
            <w:vAlign w:val="center"/>
          </w:tcPr>
          <w:p w14:paraId="2ABFDD05">
            <w:pPr>
              <w:pStyle w:val="88"/>
              <w:spacing w:before="31" w:after="31"/>
              <w:rPr>
                <w:rFonts w:hint="default"/>
                <w:color w:val="000000"/>
              </w:rPr>
            </w:pPr>
            <w:r>
              <w:rPr>
                <w:rFonts w:hint="default"/>
                <w:color w:val="000000"/>
              </w:rPr>
              <w:t>验收结果</w:t>
            </w:r>
          </w:p>
        </w:tc>
      </w:tr>
      <w:tr w14:paraId="206AEBC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010DC7A1">
            <w:pPr>
              <w:pStyle w:val="88"/>
              <w:spacing w:before="31" w:after="31"/>
              <w:rPr>
                <w:rFonts w:hint="default"/>
                <w:color w:val="000000"/>
              </w:rPr>
            </w:pPr>
          </w:p>
        </w:tc>
        <w:tc>
          <w:tcPr>
            <w:tcW w:w="513" w:type="dxa"/>
            <w:noWrap/>
            <w:vAlign w:val="center"/>
          </w:tcPr>
          <w:p w14:paraId="731C120A">
            <w:pPr>
              <w:pStyle w:val="88"/>
              <w:numPr>
                <w:ilvl w:val="0"/>
                <w:numId w:val="9"/>
              </w:numPr>
              <w:tabs>
                <w:tab w:val="clear" w:pos="0"/>
              </w:tabs>
              <w:spacing w:before="31" w:after="31"/>
              <w:rPr>
                <w:rFonts w:hint="default"/>
                <w:color w:val="000000"/>
              </w:rPr>
            </w:pPr>
          </w:p>
        </w:tc>
        <w:tc>
          <w:tcPr>
            <w:tcW w:w="6041" w:type="dxa"/>
            <w:noWrap/>
            <w:vAlign w:val="center"/>
          </w:tcPr>
          <w:p w14:paraId="20E7EB70">
            <w:pPr>
              <w:pStyle w:val="88"/>
              <w:spacing w:before="31" w:after="31"/>
              <w:rPr>
                <w:rFonts w:hint="default"/>
                <w:color w:val="000000"/>
              </w:rPr>
            </w:pPr>
            <w:r>
              <w:rPr>
                <w:color w:val="000000"/>
              </w:rPr>
              <w:t>拆除</w:t>
            </w:r>
            <w:r>
              <w:rPr>
                <w:rFonts w:hint="default"/>
                <w:color w:val="000000"/>
              </w:rPr>
              <w:t xml:space="preserve">方案、安全交底记录应齐全 </w:t>
            </w:r>
          </w:p>
        </w:tc>
        <w:tc>
          <w:tcPr>
            <w:tcW w:w="1229" w:type="dxa"/>
            <w:noWrap/>
            <w:vAlign w:val="center"/>
          </w:tcPr>
          <w:p w14:paraId="6A828EC1">
            <w:pPr>
              <w:pStyle w:val="88"/>
              <w:spacing w:before="31" w:after="31"/>
              <w:rPr>
                <w:rFonts w:hint="default"/>
                <w:color w:val="000000"/>
              </w:rPr>
            </w:pPr>
          </w:p>
        </w:tc>
      </w:tr>
      <w:tr w14:paraId="242C337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E0C9F06">
            <w:pPr>
              <w:pStyle w:val="88"/>
              <w:spacing w:before="31" w:after="31"/>
              <w:rPr>
                <w:rFonts w:hint="default"/>
                <w:color w:val="000000"/>
              </w:rPr>
            </w:pPr>
          </w:p>
        </w:tc>
        <w:tc>
          <w:tcPr>
            <w:tcW w:w="513" w:type="dxa"/>
            <w:noWrap/>
            <w:vAlign w:val="center"/>
          </w:tcPr>
          <w:p w14:paraId="43037220">
            <w:pPr>
              <w:pStyle w:val="88"/>
              <w:numPr>
                <w:ilvl w:val="0"/>
                <w:numId w:val="9"/>
              </w:numPr>
              <w:tabs>
                <w:tab w:val="clear" w:pos="0"/>
              </w:tabs>
              <w:spacing w:before="31" w:after="31"/>
              <w:rPr>
                <w:rFonts w:hint="default"/>
                <w:color w:val="000000"/>
              </w:rPr>
            </w:pPr>
          </w:p>
        </w:tc>
        <w:tc>
          <w:tcPr>
            <w:tcW w:w="6041" w:type="dxa"/>
            <w:noWrap/>
            <w:vAlign w:val="center"/>
          </w:tcPr>
          <w:p w14:paraId="11AD4F19">
            <w:pPr>
              <w:pStyle w:val="88"/>
              <w:spacing w:before="31" w:after="31"/>
              <w:rPr>
                <w:rFonts w:hint="default"/>
                <w:color w:val="000000"/>
              </w:rPr>
            </w:pPr>
            <w:r>
              <w:rPr>
                <w:rFonts w:hint="default"/>
                <w:color w:val="000000"/>
              </w:rPr>
              <w:t>转场保养作业单及</w:t>
            </w:r>
            <w:r>
              <w:rPr>
                <w:color w:val="000000"/>
              </w:rPr>
              <w:t>退场</w:t>
            </w:r>
            <w:r>
              <w:rPr>
                <w:rFonts w:hint="default"/>
                <w:color w:val="000000"/>
              </w:rPr>
              <w:t>验收记录应齐全</w:t>
            </w:r>
          </w:p>
        </w:tc>
        <w:tc>
          <w:tcPr>
            <w:tcW w:w="1229" w:type="dxa"/>
            <w:noWrap/>
            <w:vAlign w:val="center"/>
          </w:tcPr>
          <w:p w14:paraId="5626C36D">
            <w:pPr>
              <w:pStyle w:val="88"/>
              <w:spacing w:before="31" w:after="31"/>
              <w:rPr>
                <w:rFonts w:hint="default"/>
                <w:color w:val="000000"/>
              </w:rPr>
            </w:pPr>
          </w:p>
        </w:tc>
      </w:tr>
      <w:tr w14:paraId="0812B8A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216D8FE2">
            <w:pPr>
              <w:pStyle w:val="88"/>
              <w:spacing w:before="31" w:after="31"/>
              <w:rPr>
                <w:rFonts w:hint="default"/>
                <w:color w:val="000000"/>
              </w:rPr>
            </w:pPr>
            <w:r>
              <w:rPr>
                <w:rFonts w:hint="default"/>
                <w:color w:val="000000"/>
              </w:rPr>
              <w:t>标识</w:t>
            </w:r>
          </w:p>
          <w:p w14:paraId="4B26C21B">
            <w:pPr>
              <w:pStyle w:val="88"/>
              <w:spacing w:before="31" w:after="31"/>
              <w:rPr>
                <w:rFonts w:hint="default"/>
                <w:color w:val="000000"/>
              </w:rPr>
            </w:pPr>
            <w:r>
              <w:rPr>
                <w:rFonts w:hint="default"/>
                <w:color w:val="000000"/>
              </w:rPr>
              <w:t>与环境</w:t>
            </w:r>
          </w:p>
        </w:tc>
        <w:tc>
          <w:tcPr>
            <w:tcW w:w="513" w:type="dxa"/>
            <w:noWrap/>
            <w:vAlign w:val="center"/>
          </w:tcPr>
          <w:p w14:paraId="45F5A846">
            <w:pPr>
              <w:pStyle w:val="88"/>
              <w:numPr>
                <w:ilvl w:val="0"/>
                <w:numId w:val="9"/>
              </w:numPr>
              <w:tabs>
                <w:tab w:val="clear" w:pos="0"/>
              </w:tabs>
              <w:spacing w:before="31" w:after="31"/>
              <w:rPr>
                <w:rFonts w:hint="default"/>
                <w:color w:val="000000"/>
              </w:rPr>
            </w:pPr>
          </w:p>
        </w:tc>
        <w:tc>
          <w:tcPr>
            <w:tcW w:w="6041" w:type="dxa"/>
            <w:noWrap/>
            <w:vAlign w:val="center"/>
          </w:tcPr>
          <w:p w14:paraId="57BF7383">
            <w:pPr>
              <w:pStyle w:val="88"/>
              <w:spacing w:before="31" w:after="31"/>
              <w:rPr>
                <w:rFonts w:hint="default"/>
                <w:color w:val="000000"/>
              </w:rPr>
            </w:pPr>
            <w:r>
              <w:rPr>
                <w:rFonts w:hint="default"/>
                <w:color w:val="000000"/>
              </w:rPr>
              <w:t>使用登记牌、安全操作规程牌和产品标牌齐全，悬挂醒目</w:t>
            </w:r>
          </w:p>
        </w:tc>
        <w:tc>
          <w:tcPr>
            <w:tcW w:w="1229" w:type="dxa"/>
            <w:noWrap/>
            <w:vAlign w:val="center"/>
          </w:tcPr>
          <w:p w14:paraId="33685115">
            <w:pPr>
              <w:pStyle w:val="88"/>
              <w:spacing w:before="31" w:after="31"/>
              <w:rPr>
                <w:rFonts w:hint="default"/>
                <w:color w:val="000000"/>
              </w:rPr>
            </w:pPr>
          </w:p>
        </w:tc>
      </w:tr>
      <w:tr w14:paraId="1694AC0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1DD415FE">
            <w:pPr>
              <w:pStyle w:val="88"/>
              <w:spacing w:before="31" w:after="31"/>
              <w:rPr>
                <w:rFonts w:hint="default"/>
                <w:color w:val="000000"/>
              </w:rPr>
            </w:pPr>
          </w:p>
        </w:tc>
        <w:tc>
          <w:tcPr>
            <w:tcW w:w="513" w:type="dxa"/>
            <w:noWrap/>
            <w:vAlign w:val="center"/>
          </w:tcPr>
          <w:p w14:paraId="4F56FF3A">
            <w:pPr>
              <w:pStyle w:val="88"/>
              <w:numPr>
                <w:ilvl w:val="0"/>
                <w:numId w:val="9"/>
              </w:numPr>
              <w:tabs>
                <w:tab w:val="clear" w:pos="0"/>
              </w:tabs>
              <w:spacing w:before="31" w:after="31"/>
              <w:rPr>
                <w:rFonts w:hint="default"/>
                <w:color w:val="000000"/>
              </w:rPr>
            </w:pPr>
          </w:p>
        </w:tc>
        <w:tc>
          <w:tcPr>
            <w:tcW w:w="6041" w:type="dxa"/>
            <w:noWrap/>
            <w:vAlign w:val="center"/>
          </w:tcPr>
          <w:p w14:paraId="5628813A">
            <w:pPr>
              <w:pStyle w:val="88"/>
              <w:spacing w:before="31" w:after="31"/>
              <w:rPr>
                <w:rFonts w:hint="default"/>
                <w:color w:val="000000"/>
              </w:rPr>
            </w:pPr>
            <w:r>
              <w:rPr>
                <w:rFonts w:hint="default"/>
                <w:color w:val="000000"/>
              </w:rPr>
              <w:t>塔式起重机尾部与建（构）筑物及施工设施之间的距离≥0.6m</w:t>
            </w:r>
          </w:p>
        </w:tc>
        <w:tc>
          <w:tcPr>
            <w:tcW w:w="1229" w:type="dxa"/>
            <w:noWrap/>
            <w:vAlign w:val="center"/>
          </w:tcPr>
          <w:p w14:paraId="25A69357">
            <w:pPr>
              <w:pStyle w:val="88"/>
              <w:spacing w:before="31" w:after="31"/>
              <w:rPr>
                <w:rFonts w:hint="default"/>
                <w:color w:val="000000"/>
              </w:rPr>
            </w:pPr>
          </w:p>
        </w:tc>
      </w:tr>
      <w:tr w14:paraId="5270AC63">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0CF7BCE0">
            <w:pPr>
              <w:pStyle w:val="88"/>
              <w:spacing w:before="31" w:after="31"/>
              <w:rPr>
                <w:rFonts w:hint="default"/>
                <w:color w:val="000000"/>
              </w:rPr>
            </w:pPr>
          </w:p>
        </w:tc>
        <w:tc>
          <w:tcPr>
            <w:tcW w:w="513" w:type="dxa"/>
            <w:noWrap/>
            <w:vAlign w:val="center"/>
          </w:tcPr>
          <w:p w14:paraId="650B1890">
            <w:pPr>
              <w:pStyle w:val="88"/>
              <w:numPr>
                <w:ilvl w:val="0"/>
                <w:numId w:val="9"/>
              </w:numPr>
              <w:tabs>
                <w:tab w:val="clear" w:pos="0"/>
              </w:tabs>
              <w:spacing w:before="31" w:after="31"/>
              <w:rPr>
                <w:rFonts w:hint="default"/>
                <w:color w:val="000000"/>
              </w:rPr>
            </w:pPr>
          </w:p>
        </w:tc>
        <w:tc>
          <w:tcPr>
            <w:tcW w:w="6041" w:type="dxa"/>
            <w:noWrap/>
            <w:vAlign w:val="center"/>
          </w:tcPr>
          <w:p w14:paraId="637A3641">
            <w:pPr>
              <w:pStyle w:val="88"/>
              <w:spacing w:before="31" w:after="31"/>
              <w:rPr>
                <w:rFonts w:hint="default"/>
                <w:color w:val="000000"/>
              </w:rPr>
            </w:pPr>
            <w:r>
              <w:rPr>
                <w:rFonts w:hint="default"/>
                <w:color w:val="000000"/>
              </w:rPr>
              <w:t>多塔作业时，低位塔起重臂端部与高位塔塔身之间的水平距离≥2m；高位塔的最低位置部件与低位塔最高位置部件之间的垂直距离≥2m</w:t>
            </w:r>
          </w:p>
        </w:tc>
        <w:tc>
          <w:tcPr>
            <w:tcW w:w="1229" w:type="dxa"/>
            <w:noWrap/>
            <w:vAlign w:val="center"/>
          </w:tcPr>
          <w:p w14:paraId="675E3962">
            <w:pPr>
              <w:pStyle w:val="88"/>
              <w:spacing w:before="31" w:after="31"/>
              <w:rPr>
                <w:rFonts w:hint="default"/>
                <w:color w:val="000000"/>
              </w:rPr>
            </w:pPr>
          </w:p>
        </w:tc>
      </w:tr>
      <w:tr w14:paraId="298E8CC1">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71529C86">
            <w:pPr>
              <w:pStyle w:val="88"/>
              <w:spacing w:before="31" w:after="31"/>
              <w:rPr>
                <w:rFonts w:hint="default"/>
                <w:color w:val="000000"/>
              </w:rPr>
            </w:pPr>
          </w:p>
        </w:tc>
        <w:tc>
          <w:tcPr>
            <w:tcW w:w="513" w:type="dxa"/>
            <w:noWrap/>
            <w:vAlign w:val="center"/>
          </w:tcPr>
          <w:p w14:paraId="2196DAE3">
            <w:pPr>
              <w:pStyle w:val="88"/>
              <w:numPr>
                <w:ilvl w:val="0"/>
                <w:numId w:val="9"/>
              </w:numPr>
              <w:tabs>
                <w:tab w:val="clear" w:pos="0"/>
              </w:tabs>
              <w:spacing w:before="31" w:after="31"/>
              <w:rPr>
                <w:rFonts w:hint="default"/>
                <w:color w:val="000000"/>
              </w:rPr>
            </w:pPr>
          </w:p>
        </w:tc>
        <w:tc>
          <w:tcPr>
            <w:tcW w:w="6041" w:type="dxa"/>
            <w:noWrap/>
            <w:vAlign w:val="center"/>
          </w:tcPr>
          <w:p w14:paraId="438E63A7">
            <w:pPr>
              <w:pStyle w:val="88"/>
              <w:spacing w:before="31" w:after="31"/>
              <w:rPr>
                <w:rFonts w:hint="default"/>
                <w:color w:val="000000"/>
              </w:rPr>
            </w:pPr>
            <w:r>
              <w:rPr>
                <w:rFonts w:hint="default"/>
                <w:color w:val="000000"/>
              </w:rPr>
              <w:t>塔式起重机与外电线路的距离应符合JGJ46—2005的规定</w:t>
            </w:r>
          </w:p>
        </w:tc>
        <w:tc>
          <w:tcPr>
            <w:tcW w:w="1229" w:type="dxa"/>
            <w:noWrap/>
            <w:vAlign w:val="center"/>
          </w:tcPr>
          <w:p w14:paraId="201A3628">
            <w:pPr>
              <w:pStyle w:val="88"/>
              <w:spacing w:before="31" w:after="31"/>
              <w:rPr>
                <w:rFonts w:hint="default"/>
                <w:color w:val="000000"/>
              </w:rPr>
            </w:pPr>
          </w:p>
        </w:tc>
      </w:tr>
      <w:tr w14:paraId="2E267B4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0650A2AD">
            <w:pPr>
              <w:pStyle w:val="88"/>
              <w:spacing w:before="31" w:after="31"/>
              <w:rPr>
                <w:rFonts w:hint="default"/>
                <w:color w:val="000000"/>
              </w:rPr>
            </w:pPr>
            <w:r>
              <w:rPr>
                <w:rFonts w:hint="default"/>
                <w:color w:val="000000"/>
              </w:rPr>
              <w:t>塔式起重机结构</w:t>
            </w:r>
          </w:p>
        </w:tc>
        <w:tc>
          <w:tcPr>
            <w:tcW w:w="513" w:type="dxa"/>
            <w:noWrap/>
            <w:vAlign w:val="center"/>
          </w:tcPr>
          <w:p w14:paraId="7817B1F3">
            <w:pPr>
              <w:pStyle w:val="88"/>
              <w:numPr>
                <w:ilvl w:val="0"/>
                <w:numId w:val="9"/>
              </w:numPr>
              <w:tabs>
                <w:tab w:val="clear" w:pos="0"/>
              </w:tabs>
              <w:spacing w:before="31" w:after="31"/>
              <w:rPr>
                <w:rFonts w:hint="default"/>
                <w:color w:val="000000"/>
              </w:rPr>
            </w:pPr>
          </w:p>
        </w:tc>
        <w:tc>
          <w:tcPr>
            <w:tcW w:w="6041" w:type="dxa"/>
            <w:noWrap/>
            <w:vAlign w:val="center"/>
          </w:tcPr>
          <w:p w14:paraId="09430AC7">
            <w:pPr>
              <w:pStyle w:val="88"/>
              <w:spacing w:before="31" w:after="31"/>
              <w:rPr>
                <w:rFonts w:hint="default"/>
                <w:color w:val="000000"/>
              </w:rPr>
            </w:pPr>
            <w:r>
              <w:rPr>
                <w:rFonts w:hint="default"/>
                <w:color w:val="000000"/>
              </w:rPr>
              <w:t>金属结构无可见裂纹和明显变形</w:t>
            </w:r>
          </w:p>
        </w:tc>
        <w:tc>
          <w:tcPr>
            <w:tcW w:w="1229" w:type="dxa"/>
            <w:noWrap/>
            <w:vAlign w:val="center"/>
          </w:tcPr>
          <w:p w14:paraId="5A33AFFC">
            <w:pPr>
              <w:pStyle w:val="88"/>
              <w:spacing w:before="31" w:after="31"/>
              <w:rPr>
                <w:rFonts w:hint="default"/>
                <w:color w:val="000000"/>
              </w:rPr>
            </w:pPr>
          </w:p>
        </w:tc>
      </w:tr>
      <w:tr w14:paraId="611C6068">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2E52DB6E">
            <w:pPr>
              <w:pStyle w:val="88"/>
              <w:spacing w:before="31" w:after="31"/>
              <w:rPr>
                <w:rFonts w:hint="default"/>
                <w:color w:val="000000"/>
              </w:rPr>
            </w:pPr>
          </w:p>
        </w:tc>
        <w:tc>
          <w:tcPr>
            <w:tcW w:w="513" w:type="dxa"/>
            <w:noWrap/>
            <w:vAlign w:val="center"/>
          </w:tcPr>
          <w:p w14:paraId="410D6F0A">
            <w:pPr>
              <w:pStyle w:val="88"/>
              <w:numPr>
                <w:ilvl w:val="0"/>
                <w:numId w:val="9"/>
              </w:numPr>
              <w:tabs>
                <w:tab w:val="clear" w:pos="0"/>
              </w:tabs>
              <w:spacing w:before="31" w:after="31"/>
              <w:rPr>
                <w:rFonts w:hint="default"/>
                <w:color w:val="000000"/>
              </w:rPr>
            </w:pPr>
          </w:p>
        </w:tc>
        <w:tc>
          <w:tcPr>
            <w:tcW w:w="6041" w:type="dxa"/>
            <w:noWrap/>
            <w:vAlign w:val="center"/>
          </w:tcPr>
          <w:p w14:paraId="619C26A4">
            <w:pPr>
              <w:pStyle w:val="88"/>
              <w:spacing w:before="31" w:after="31"/>
              <w:rPr>
                <w:rFonts w:hint="default"/>
                <w:color w:val="000000"/>
              </w:rPr>
            </w:pPr>
            <w:r>
              <w:rPr>
                <w:rFonts w:hint="default"/>
                <w:color w:val="000000"/>
              </w:rPr>
              <w:t>连接螺栓齐全，规格和预紧力达到使用说明书要求</w:t>
            </w:r>
          </w:p>
        </w:tc>
        <w:tc>
          <w:tcPr>
            <w:tcW w:w="1229" w:type="dxa"/>
            <w:noWrap/>
            <w:vAlign w:val="center"/>
          </w:tcPr>
          <w:p w14:paraId="6D3D2FAA">
            <w:pPr>
              <w:pStyle w:val="88"/>
              <w:spacing w:before="31" w:after="31"/>
              <w:rPr>
                <w:rFonts w:hint="default"/>
                <w:color w:val="000000"/>
              </w:rPr>
            </w:pPr>
          </w:p>
        </w:tc>
      </w:tr>
      <w:tr w14:paraId="231CCA49">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302331EF">
            <w:pPr>
              <w:pStyle w:val="88"/>
              <w:spacing w:before="31" w:after="31"/>
              <w:rPr>
                <w:rFonts w:hint="default"/>
                <w:color w:val="000000"/>
              </w:rPr>
            </w:pPr>
          </w:p>
        </w:tc>
        <w:tc>
          <w:tcPr>
            <w:tcW w:w="513" w:type="dxa"/>
            <w:noWrap/>
            <w:vAlign w:val="center"/>
          </w:tcPr>
          <w:p w14:paraId="39AA9863">
            <w:pPr>
              <w:pStyle w:val="88"/>
              <w:numPr>
                <w:ilvl w:val="0"/>
                <w:numId w:val="9"/>
              </w:numPr>
              <w:tabs>
                <w:tab w:val="clear" w:pos="0"/>
              </w:tabs>
              <w:spacing w:before="31" w:after="31"/>
              <w:rPr>
                <w:rFonts w:hint="default"/>
                <w:color w:val="000000"/>
              </w:rPr>
            </w:pPr>
          </w:p>
        </w:tc>
        <w:tc>
          <w:tcPr>
            <w:tcW w:w="6041" w:type="dxa"/>
            <w:noWrap/>
            <w:vAlign w:val="center"/>
          </w:tcPr>
          <w:p w14:paraId="3CE28685">
            <w:pPr>
              <w:pStyle w:val="88"/>
              <w:spacing w:before="31" w:after="31"/>
              <w:rPr>
                <w:rFonts w:hint="default"/>
                <w:color w:val="000000"/>
              </w:rPr>
            </w:pPr>
            <w:r>
              <w:rPr>
                <w:rFonts w:hint="default"/>
                <w:color w:val="000000"/>
              </w:rPr>
              <w:t xml:space="preserve">销轴连接可靠，符合出厂要求 </w:t>
            </w:r>
          </w:p>
        </w:tc>
        <w:tc>
          <w:tcPr>
            <w:tcW w:w="1229" w:type="dxa"/>
            <w:noWrap/>
            <w:vAlign w:val="center"/>
          </w:tcPr>
          <w:p w14:paraId="7E939335">
            <w:pPr>
              <w:pStyle w:val="88"/>
              <w:spacing w:before="31" w:after="31"/>
              <w:rPr>
                <w:rFonts w:hint="default"/>
                <w:color w:val="000000"/>
              </w:rPr>
            </w:pPr>
          </w:p>
        </w:tc>
      </w:tr>
      <w:tr w14:paraId="3C0F3354">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1A5AE6E8">
            <w:pPr>
              <w:pStyle w:val="88"/>
              <w:spacing w:before="31" w:after="31"/>
              <w:rPr>
                <w:rFonts w:hint="default"/>
                <w:color w:val="000000"/>
              </w:rPr>
            </w:pPr>
          </w:p>
        </w:tc>
        <w:tc>
          <w:tcPr>
            <w:tcW w:w="513" w:type="dxa"/>
            <w:noWrap/>
            <w:vAlign w:val="center"/>
          </w:tcPr>
          <w:p w14:paraId="148CA084">
            <w:pPr>
              <w:pStyle w:val="88"/>
              <w:numPr>
                <w:ilvl w:val="0"/>
                <w:numId w:val="9"/>
              </w:numPr>
              <w:tabs>
                <w:tab w:val="clear" w:pos="0"/>
              </w:tabs>
              <w:spacing w:before="31" w:after="31"/>
              <w:rPr>
                <w:rFonts w:hint="default"/>
                <w:color w:val="000000"/>
              </w:rPr>
            </w:pPr>
          </w:p>
        </w:tc>
        <w:tc>
          <w:tcPr>
            <w:tcW w:w="6041" w:type="dxa"/>
            <w:noWrap/>
            <w:vAlign w:val="center"/>
          </w:tcPr>
          <w:p w14:paraId="24779805">
            <w:pPr>
              <w:pStyle w:val="88"/>
              <w:spacing w:before="31" w:after="31"/>
              <w:rPr>
                <w:rFonts w:hint="default"/>
                <w:color w:val="000000"/>
              </w:rPr>
            </w:pPr>
            <w:r>
              <w:rPr>
                <w:rFonts w:hint="default"/>
                <w:color w:val="000000"/>
              </w:rPr>
              <w:t>过道、平台、栏杆、踏板符合GB5144—2006规定，连接牢靠</w:t>
            </w:r>
          </w:p>
        </w:tc>
        <w:tc>
          <w:tcPr>
            <w:tcW w:w="1229" w:type="dxa"/>
            <w:noWrap/>
            <w:vAlign w:val="center"/>
          </w:tcPr>
          <w:p w14:paraId="0E823675">
            <w:pPr>
              <w:pStyle w:val="88"/>
              <w:spacing w:before="31" w:after="31"/>
              <w:rPr>
                <w:rFonts w:hint="default"/>
                <w:color w:val="000000"/>
              </w:rPr>
            </w:pPr>
          </w:p>
        </w:tc>
      </w:tr>
      <w:tr w14:paraId="703C95B0">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7E56689">
            <w:pPr>
              <w:pStyle w:val="88"/>
              <w:spacing w:before="31" w:after="31"/>
              <w:rPr>
                <w:rFonts w:hint="default"/>
                <w:color w:val="000000"/>
              </w:rPr>
            </w:pPr>
          </w:p>
        </w:tc>
        <w:tc>
          <w:tcPr>
            <w:tcW w:w="513" w:type="dxa"/>
            <w:noWrap/>
            <w:vAlign w:val="center"/>
          </w:tcPr>
          <w:p w14:paraId="363AAE67">
            <w:pPr>
              <w:pStyle w:val="88"/>
              <w:numPr>
                <w:ilvl w:val="0"/>
                <w:numId w:val="9"/>
              </w:numPr>
              <w:tabs>
                <w:tab w:val="clear" w:pos="0"/>
              </w:tabs>
              <w:spacing w:before="31" w:after="31"/>
              <w:rPr>
                <w:rFonts w:hint="default"/>
                <w:color w:val="000000"/>
              </w:rPr>
            </w:pPr>
          </w:p>
        </w:tc>
        <w:tc>
          <w:tcPr>
            <w:tcW w:w="6041" w:type="dxa"/>
            <w:noWrap/>
            <w:vAlign w:val="center"/>
          </w:tcPr>
          <w:p w14:paraId="4D81ADE7">
            <w:pPr>
              <w:pStyle w:val="88"/>
              <w:spacing w:before="31" w:after="31"/>
              <w:rPr>
                <w:rFonts w:hint="default"/>
                <w:color w:val="000000"/>
              </w:rPr>
            </w:pPr>
            <w:r>
              <w:rPr>
                <w:rFonts w:hint="default"/>
                <w:color w:val="000000"/>
              </w:rPr>
              <w:t>梯子、护圈、休息平台符合GB5144—2006规定，连接牢靠</w:t>
            </w:r>
          </w:p>
        </w:tc>
        <w:tc>
          <w:tcPr>
            <w:tcW w:w="1229" w:type="dxa"/>
            <w:noWrap/>
            <w:vAlign w:val="center"/>
          </w:tcPr>
          <w:p w14:paraId="311BA832">
            <w:pPr>
              <w:pStyle w:val="88"/>
              <w:spacing w:before="31" w:after="31"/>
              <w:rPr>
                <w:rFonts w:hint="default"/>
                <w:color w:val="000000"/>
              </w:rPr>
            </w:pPr>
          </w:p>
        </w:tc>
      </w:tr>
      <w:tr w14:paraId="58F1A97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79D0CC61">
            <w:pPr>
              <w:pStyle w:val="88"/>
              <w:spacing w:before="31" w:after="31"/>
              <w:rPr>
                <w:rFonts w:hint="default"/>
                <w:color w:val="000000"/>
              </w:rPr>
            </w:pPr>
          </w:p>
        </w:tc>
        <w:tc>
          <w:tcPr>
            <w:tcW w:w="513" w:type="dxa"/>
            <w:noWrap/>
            <w:vAlign w:val="center"/>
          </w:tcPr>
          <w:p w14:paraId="237FA1A3">
            <w:pPr>
              <w:pStyle w:val="88"/>
              <w:numPr>
                <w:ilvl w:val="0"/>
                <w:numId w:val="9"/>
              </w:numPr>
              <w:tabs>
                <w:tab w:val="clear" w:pos="0"/>
              </w:tabs>
              <w:spacing w:before="31" w:after="31"/>
              <w:rPr>
                <w:rFonts w:hint="default"/>
                <w:color w:val="000000"/>
              </w:rPr>
            </w:pPr>
          </w:p>
        </w:tc>
        <w:tc>
          <w:tcPr>
            <w:tcW w:w="6041" w:type="dxa"/>
            <w:noWrap/>
            <w:vAlign w:val="center"/>
          </w:tcPr>
          <w:p w14:paraId="363FD0F4">
            <w:pPr>
              <w:pStyle w:val="88"/>
              <w:spacing w:before="31" w:after="31"/>
              <w:rPr>
                <w:rFonts w:hint="default"/>
                <w:color w:val="000000"/>
              </w:rPr>
            </w:pPr>
            <w:r>
              <w:rPr>
                <w:rFonts w:hint="default"/>
                <w:color w:val="000000"/>
              </w:rPr>
              <w:t xml:space="preserve">平衡重牢固，重量与位置符合使用说明书要求， </w:t>
            </w:r>
          </w:p>
        </w:tc>
        <w:tc>
          <w:tcPr>
            <w:tcW w:w="1229" w:type="dxa"/>
            <w:noWrap/>
            <w:vAlign w:val="center"/>
          </w:tcPr>
          <w:p w14:paraId="7304723E">
            <w:pPr>
              <w:pStyle w:val="88"/>
              <w:spacing w:before="31" w:after="31"/>
              <w:rPr>
                <w:rFonts w:hint="default"/>
                <w:color w:val="000000"/>
              </w:rPr>
            </w:pPr>
          </w:p>
        </w:tc>
      </w:tr>
      <w:tr w14:paraId="20F8729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noWrap/>
            <w:vAlign w:val="center"/>
          </w:tcPr>
          <w:p w14:paraId="67A83248">
            <w:pPr>
              <w:pStyle w:val="88"/>
              <w:spacing w:before="31" w:after="31"/>
              <w:rPr>
                <w:rFonts w:hint="default"/>
                <w:color w:val="000000"/>
              </w:rPr>
            </w:pPr>
            <w:r>
              <w:rPr>
                <w:rFonts w:hint="default"/>
                <w:color w:val="000000"/>
              </w:rPr>
              <w:t>垂直度</w:t>
            </w:r>
          </w:p>
        </w:tc>
        <w:tc>
          <w:tcPr>
            <w:tcW w:w="513" w:type="dxa"/>
            <w:noWrap/>
            <w:vAlign w:val="center"/>
          </w:tcPr>
          <w:p w14:paraId="7B3BB378">
            <w:pPr>
              <w:pStyle w:val="88"/>
              <w:numPr>
                <w:ilvl w:val="0"/>
                <w:numId w:val="9"/>
              </w:numPr>
              <w:tabs>
                <w:tab w:val="clear" w:pos="0"/>
              </w:tabs>
              <w:spacing w:before="31" w:after="31"/>
              <w:rPr>
                <w:rFonts w:hint="default"/>
                <w:color w:val="000000"/>
              </w:rPr>
            </w:pPr>
          </w:p>
        </w:tc>
        <w:tc>
          <w:tcPr>
            <w:tcW w:w="6041" w:type="dxa"/>
            <w:noWrap/>
            <w:vAlign w:val="center"/>
          </w:tcPr>
          <w:p w14:paraId="4B8D2C75">
            <w:pPr>
              <w:pStyle w:val="88"/>
              <w:spacing w:before="31" w:after="31"/>
              <w:rPr>
                <w:rFonts w:hint="default"/>
                <w:color w:val="000000"/>
              </w:rPr>
            </w:pPr>
            <w:r>
              <w:rPr>
                <w:rFonts w:hint="default"/>
                <w:color w:val="000000"/>
              </w:rPr>
              <w:t>独立状态塔身轴心线对支承面的垂直度≤4‰</w:t>
            </w:r>
          </w:p>
        </w:tc>
        <w:tc>
          <w:tcPr>
            <w:tcW w:w="1229" w:type="dxa"/>
            <w:noWrap/>
            <w:vAlign w:val="center"/>
          </w:tcPr>
          <w:p w14:paraId="792D79EF">
            <w:pPr>
              <w:pStyle w:val="88"/>
              <w:spacing w:before="31" w:after="31"/>
              <w:rPr>
                <w:rFonts w:hint="default"/>
                <w:color w:val="000000"/>
              </w:rPr>
            </w:pPr>
          </w:p>
        </w:tc>
      </w:tr>
      <w:tr w14:paraId="71507AC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noWrap/>
            <w:vAlign w:val="center"/>
          </w:tcPr>
          <w:p w14:paraId="1A21D499">
            <w:pPr>
              <w:pStyle w:val="88"/>
              <w:spacing w:before="31" w:after="31"/>
              <w:rPr>
                <w:rFonts w:hint="default"/>
                <w:color w:val="000000"/>
              </w:rPr>
            </w:pPr>
            <w:r>
              <w:rPr>
                <w:rFonts w:hint="default"/>
                <w:color w:val="000000"/>
              </w:rPr>
              <w:t>回转</w:t>
            </w:r>
          </w:p>
        </w:tc>
        <w:tc>
          <w:tcPr>
            <w:tcW w:w="513" w:type="dxa"/>
            <w:noWrap/>
            <w:vAlign w:val="center"/>
          </w:tcPr>
          <w:p w14:paraId="137A8841">
            <w:pPr>
              <w:pStyle w:val="88"/>
              <w:numPr>
                <w:ilvl w:val="0"/>
                <w:numId w:val="9"/>
              </w:numPr>
              <w:tabs>
                <w:tab w:val="clear" w:pos="0"/>
              </w:tabs>
              <w:spacing w:before="31" w:after="31"/>
              <w:rPr>
                <w:rFonts w:hint="default"/>
                <w:color w:val="000000"/>
              </w:rPr>
            </w:pPr>
          </w:p>
        </w:tc>
        <w:tc>
          <w:tcPr>
            <w:tcW w:w="6041" w:type="dxa"/>
            <w:noWrap/>
            <w:vAlign w:val="center"/>
          </w:tcPr>
          <w:p w14:paraId="2447FD1A">
            <w:pPr>
              <w:pStyle w:val="88"/>
              <w:spacing w:before="31" w:after="31"/>
              <w:rPr>
                <w:rFonts w:hint="default"/>
                <w:color w:val="000000"/>
              </w:rPr>
            </w:pPr>
            <w:r>
              <w:rPr>
                <w:rFonts w:hint="default"/>
                <w:color w:val="000000"/>
              </w:rPr>
              <w:t>回转处不设集电器供电的塔式起重机，应设置正反两个方向回转限位开关，开关动作时臂架旋转角度应≤±540°</w:t>
            </w:r>
          </w:p>
        </w:tc>
        <w:tc>
          <w:tcPr>
            <w:tcW w:w="1229" w:type="dxa"/>
            <w:noWrap/>
            <w:vAlign w:val="center"/>
          </w:tcPr>
          <w:p w14:paraId="12DB101F">
            <w:pPr>
              <w:pStyle w:val="88"/>
              <w:spacing w:before="31" w:after="31"/>
              <w:rPr>
                <w:rFonts w:hint="default"/>
                <w:color w:val="000000"/>
              </w:rPr>
            </w:pPr>
          </w:p>
        </w:tc>
      </w:tr>
      <w:tr w14:paraId="62745EEE">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5DC69705">
            <w:pPr>
              <w:pStyle w:val="88"/>
              <w:spacing w:before="31" w:after="31"/>
              <w:rPr>
                <w:rFonts w:hint="default"/>
                <w:color w:val="000000"/>
              </w:rPr>
            </w:pPr>
            <w:r>
              <w:rPr>
                <w:rFonts w:hint="default"/>
                <w:color w:val="000000"/>
              </w:rPr>
              <w:t>起升系统</w:t>
            </w:r>
          </w:p>
        </w:tc>
        <w:tc>
          <w:tcPr>
            <w:tcW w:w="513" w:type="dxa"/>
            <w:noWrap/>
            <w:vAlign w:val="center"/>
          </w:tcPr>
          <w:p w14:paraId="463C1B33">
            <w:pPr>
              <w:pStyle w:val="88"/>
              <w:numPr>
                <w:ilvl w:val="0"/>
                <w:numId w:val="9"/>
              </w:numPr>
              <w:tabs>
                <w:tab w:val="clear" w:pos="0"/>
              </w:tabs>
              <w:spacing w:before="31" w:after="31"/>
              <w:rPr>
                <w:rFonts w:hint="default"/>
                <w:color w:val="000000"/>
              </w:rPr>
            </w:pPr>
          </w:p>
        </w:tc>
        <w:tc>
          <w:tcPr>
            <w:tcW w:w="6041" w:type="dxa"/>
            <w:noWrap/>
            <w:vAlign w:val="center"/>
          </w:tcPr>
          <w:p w14:paraId="17E3883C">
            <w:pPr>
              <w:pStyle w:val="88"/>
              <w:spacing w:before="31" w:after="31"/>
              <w:rPr>
                <w:rFonts w:hint="default"/>
                <w:color w:val="000000"/>
              </w:rPr>
            </w:pPr>
            <w:r>
              <w:rPr>
                <w:rFonts w:hint="default"/>
                <w:color w:val="000000"/>
              </w:rPr>
              <w:t>起重力矩限制器灵敏可靠，限制值&lt;额定载荷110%，显示误差≤额定载荷±5%</w:t>
            </w:r>
          </w:p>
        </w:tc>
        <w:tc>
          <w:tcPr>
            <w:tcW w:w="1229" w:type="dxa"/>
            <w:noWrap/>
            <w:vAlign w:val="center"/>
          </w:tcPr>
          <w:p w14:paraId="22B528DE">
            <w:pPr>
              <w:pStyle w:val="88"/>
              <w:spacing w:before="31" w:after="31"/>
              <w:rPr>
                <w:rFonts w:hint="default"/>
                <w:color w:val="000000"/>
              </w:rPr>
            </w:pPr>
          </w:p>
        </w:tc>
      </w:tr>
      <w:tr w14:paraId="2A258FD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1D53FFC9">
            <w:pPr>
              <w:pStyle w:val="88"/>
              <w:spacing w:before="31" w:after="31"/>
              <w:rPr>
                <w:rFonts w:hint="default"/>
                <w:color w:val="000000"/>
              </w:rPr>
            </w:pPr>
          </w:p>
        </w:tc>
        <w:tc>
          <w:tcPr>
            <w:tcW w:w="513" w:type="dxa"/>
            <w:noWrap/>
            <w:vAlign w:val="center"/>
          </w:tcPr>
          <w:p w14:paraId="24A1B24A">
            <w:pPr>
              <w:pStyle w:val="88"/>
              <w:numPr>
                <w:ilvl w:val="0"/>
                <w:numId w:val="9"/>
              </w:numPr>
              <w:tabs>
                <w:tab w:val="clear" w:pos="0"/>
              </w:tabs>
              <w:spacing w:before="31" w:after="31"/>
              <w:rPr>
                <w:rFonts w:hint="default"/>
                <w:color w:val="000000"/>
              </w:rPr>
            </w:pPr>
          </w:p>
        </w:tc>
        <w:tc>
          <w:tcPr>
            <w:tcW w:w="6041" w:type="dxa"/>
            <w:noWrap/>
            <w:vAlign w:val="center"/>
          </w:tcPr>
          <w:p w14:paraId="2549BC8F">
            <w:pPr>
              <w:pStyle w:val="88"/>
              <w:spacing w:before="31" w:after="31"/>
              <w:rPr>
                <w:rFonts w:hint="default"/>
                <w:color w:val="000000"/>
              </w:rPr>
            </w:pPr>
            <w:r>
              <w:rPr>
                <w:rFonts w:hint="default"/>
                <w:color w:val="000000"/>
              </w:rPr>
              <w:t>起升高度限位器灵敏可靠，安全越程≥800mm</w:t>
            </w:r>
          </w:p>
        </w:tc>
        <w:tc>
          <w:tcPr>
            <w:tcW w:w="1229" w:type="dxa"/>
            <w:noWrap/>
            <w:vAlign w:val="center"/>
          </w:tcPr>
          <w:p w14:paraId="1A91C28A">
            <w:pPr>
              <w:pStyle w:val="88"/>
              <w:spacing w:before="31" w:after="31"/>
              <w:rPr>
                <w:rFonts w:hint="default"/>
                <w:color w:val="000000"/>
              </w:rPr>
            </w:pPr>
          </w:p>
        </w:tc>
      </w:tr>
      <w:tr w14:paraId="74ADE6C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5DCFA147">
            <w:pPr>
              <w:pStyle w:val="88"/>
              <w:spacing w:before="31" w:after="31"/>
              <w:rPr>
                <w:rFonts w:hint="default"/>
                <w:color w:val="000000"/>
              </w:rPr>
            </w:pPr>
          </w:p>
        </w:tc>
        <w:tc>
          <w:tcPr>
            <w:tcW w:w="513" w:type="dxa"/>
            <w:noWrap/>
            <w:vAlign w:val="center"/>
          </w:tcPr>
          <w:p w14:paraId="3311B042">
            <w:pPr>
              <w:pStyle w:val="88"/>
              <w:numPr>
                <w:ilvl w:val="0"/>
                <w:numId w:val="9"/>
              </w:numPr>
              <w:tabs>
                <w:tab w:val="clear" w:pos="0"/>
              </w:tabs>
              <w:spacing w:before="31" w:after="31"/>
              <w:rPr>
                <w:rFonts w:hint="default"/>
                <w:color w:val="000000"/>
              </w:rPr>
            </w:pPr>
          </w:p>
        </w:tc>
        <w:tc>
          <w:tcPr>
            <w:tcW w:w="6041" w:type="dxa"/>
            <w:noWrap/>
            <w:vAlign w:val="center"/>
          </w:tcPr>
          <w:p w14:paraId="58920B8C">
            <w:pPr>
              <w:pStyle w:val="88"/>
              <w:spacing w:before="31" w:after="31"/>
              <w:rPr>
                <w:rFonts w:hint="default"/>
                <w:color w:val="000000"/>
              </w:rPr>
            </w:pPr>
            <w:r>
              <w:rPr>
                <w:rFonts w:hint="default"/>
                <w:color w:val="000000"/>
              </w:rPr>
              <w:t>起重量限制器灵敏可靠，限制值＜额定载荷110%，显示误差≤额定载荷±5%</w:t>
            </w:r>
          </w:p>
        </w:tc>
        <w:tc>
          <w:tcPr>
            <w:tcW w:w="1229" w:type="dxa"/>
            <w:noWrap/>
            <w:vAlign w:val="center"/>
          </w:tcPr>
          <w:p w14:paraId="20F35CB4">
            <w:pPr>
              <w:pStyle w:val="88"/>
              <w:spacing w:before="31" w:after="31"/>
              <w:rPr>
                <w:rFonts w:hint="default"/>
                <w:color w:val="000000"/>
              </w:rPr>
            </w:pPr>
          </w:p>
        </w:tc>
      </w:tr>
      <w:tr w14:paraId="5827BE13">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008631BC">
            <w:pPr>
              <w:pStyle w:val="88"/>
              <w:spacing w:before="31" w:after="31"/>
              <w:rPr>
                <w:rFonts w:hint="default"/>
                <w:color w:val="000000"/>
              </w:rPr>
            </w:pPr>
            <w:r>
              <w:rPr>
                <w:rFonts w:hint="default"/>
                <w:color w:val="000000"/>
              </w:rPr>
              <w:t>变幅系统</w:t>
            </w:r>
          </w:p>
        </w:tc>
        <w:tc>
          <w:tcPr>
            <w:tcW w:w="513" w:type="dxa"/>
            <w:noWrap/>
            <w:vAlign w:val="center"/>
          </w:tcPr>
          <w:p w14:paraId="0778F36F">
            <w:pPr>
              <w:pStyle w:val="88"/>
              <w:numPr>
                <w:ilvl w:val="0"/>
                <w:numId w:val="9"/>
              </w:numPr>
              <w:tabs>
                <w:tab w:val="clear" w:pos="0"/>
              </w:tabs>
              <w:spacing w:before="31" w:after="31"/>
              <w:rPr>
                <w:rFonts w:hint="default"/>
                <w:color w:val="000000"/>
              </w:rPr>
            </w:pPr>
          </w:p>
        </w:tc>
        <w:tc>
          <w:tcPr>
            <w:tcW w:w="6041" w:type="dxa"/>
            <w:noWrap/>
            <w:vAlign w:val="center"/>
          </w:tcPr>
          <w:p w14:paraId="37869BBA">
            <w:pPr>
              <w:pStyle w:val="88"/>
              <w:spacing w:before="31" w:after="31"/>
              <w:rPr>
                <w:rFonts w:hint="default"/>
                <w:color w:val="000000"/>
              </w:rPr>
            </w:pPr>
            <w:r>
              <w:rPr>
                <w:rFonts w:hint="default"/>
                <w:color w:val="000000"/>
              </w:rPr>
              <w:t>应设置小车断绳、小车断轴保护装置，可靠有效</w:t>
            </w:r>
          </w:p>
        </w:tc>
        <w:tc>
          <w:tcPr>
            <w:tcW w:w="1229" w:type="dxa"/>
            <w:noWrap/>
            <w:vAlign w:val="center"/>
          </w:tcPr>
          <w:p w14:paraId="6A37619C">
            <w:pPr>
              <w:pStyle w:val="88"/>
              <w:spacing w:before="31" w:after="31"/>
              <w:rPr>
                <w:rFonts w:hint="default"/>
                <w:color w:val="000000"/>
              </w:rPr>
            </w:pPr>
          </w:p>
        </w:tc>
      </w:tr>
      <w:tr w14:paraId="5AD6B5A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2432BEF1">
            <w:pPr>
              <w:pStyle w:val="88"/>
              <w:spacing w:before="31" w:after="31"/>
              <w:rPr>
                <w:rFonts w:hint="default"/>
                <w:color w:val="000000"/>
              </w:rPr>
            </w:pPr>
          </w:p>
        </w:tc>
        <w:tc>
          <w:tcPr>
            <w:tcW w:w="513" w:type="dxa"/>
            <w:noWrap/>
            <w:vAlign w:val="center"/>
          </w:tcPr>
          <w:p w14:paraId="09EF8FE3">
            <w:pPr>
              <w:pStyle w:val="88"/>
              <w:numPr>
                <w:ilvl w:val="0"/>
                <w:numId w:val="9"/>
              </w:numPr>
              <w:tabs>
                <w:tab w:val="clear" w:pos="0"/>
              </w:tabs>
              <w:spacing w:before="31" w:after="31"/>
              <w:rPr>
                <w:rFonts w:hint="default"/>
                <w:color w:val="000000"/>
              </w:rPr>
            </w:pPr>
          </w:p>
        </w:tc>
        <w:tc>
          <w:tcPr>
            <w:tcW w:w="6041" w:type="dxa"/>
            <w:noWrap/>
            <w:vAlign w:val="center"/>
          </w:tcPr>
          <w:p w14:paraId="29124BE3">
            <w:pPr>
              <w:pStyle w:val="88"/>
              <w:spacing w:before="31" w:after="31"/>
              <w:rPr>
                <w:rFonts w:hint="default"/>
                <w:color w:val="000000"/>
              </w:rPr>
            </w:pPr>
            <w:r>
              <w:rPr>
                <w:rFonts w:hint="default"/>
                <w:color w:val="000000"/>
              </w:rPr>
              <w:t>小车变幅检修</w:t>
            </w:r>
            <w:r>
              <w:rPr>
                <w:color w:val="000000"/>
              </w:rPr>
              <w:t>平台</w:t>
            </w:r>
            <w:r>
              <w:rPr>
                <w:rFonts w:hint="default"/>
                <w:color w:val="000000"/>
              </w:rPr>
              <w:t>牢固可靠</w:t>
            </w:r>
          </w:p>
        </w:tc>
        <w:tc>
          <w:tcPr>
            <w:tcW w:w="1229" w:type="dxa"/>
            <w:noWrap/>
            <w:vAlign w:val="center"/>
          </w:tcPr>
          <w:p w14:paraId="24CC3384">
            <w:pPr>
              <w:pStyle w:val="88"/>
              <w:spacing w:before="31" w:after="31"/>
              <w:rPr>
                <w:rFonts w:hint="default"/>
                <w:color w:val="000000"/>
              </w:rPr>
            </w:pPr>
          </w:p>
        </w:tc>
      </w:tr>
      <w:tr w14:paraId="5EAE349A">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0B7F7E91">
            <w:pPr>
              <w:pStyle w:val="88"/>
              <w:spacing w:before="31" w:after="31"/>
              <w:rPr>
                <w:rFonts w:hint="default"/>
                <w:color w:val="000000"/>
              </w:rPr>
            </w:pPr>
          </w:p>
        </w:tc>
        <w:tc>
          <w:tcPr>
            <w:tcW w:w="513" w:type="dxa"/>
            <w:noWrap/>
            <w:vAlign w:val="center"/>
          </w:tcPr>
          <w:p w14:paraId="188F5A44">
            <w:pPr>
              <w:pStyle w:val="88"/>
              <w:numPr>
                <w:ilvl w:val="0"/>
                <w:numId w:val="9"/>
              </w:numPr>
              <w:tabs>
                <w:tab w:val="clear" w:pos="0"/>
              </w:tabs>
              <w:spacing w:before="31" w:after="31"/>
              <w:rPr>
                <w:rFonts w:hint="default"/>
                <w:color w:val="000000"/>
              </w:rPr>
            </w:pPr>
          </w:p>
        </w:tc>
        <w:tc>
          <w:tcPr>
            <w:tcW w:w="6041" w:type="dxa"/>
            <w:noWrap/>
            <w:vAlign w:val="center"/>
          </w:tcPr>
          <w:p w14:paraId="3A408CED">
            <w:pPr>
              <w:pStyle w:val="88"/>
              <w:spacing w:before="31" w:after="31"/>
              <w:rPr>
                <w:rFonts w:hint="default"/>
                <w:color w:val="000000"/>
              </w:rPr>
            </w:pPr>
            <w:r>
              <w:rPr>
                <w:rFonts w:hint="default"/>
                <w:color w:val="000000"/>
              </w:rPr>
              <w:t>小车行程限位开关和终端缓冲装置齐全有效。限位开关动作后应保证小车停车时其端部距缓冲装置距离≥200mm</w:t>
            </w:r>
          </w:p>
        </w:tc>
        <w:tc>
          <w:tcPr>
            <w:tcW w:w="1229" w:type="dxa"/>
            <w:noWrap/>
            <w:vAlign w:val="center"/>
          </w:tcPr>
          <w:p w14:paraId="6E87A908">
            <w:pPr>
              <w:pStyle w:val="88"/>
              <w:spacing w:before="31" w:after="31"/>
              <w:rPr>
                <w:rFonts w:hint="default"/>
                <w:color w:val="000000"/>
              </w:rPr>
            </w:pPr>
          </w:p>
        </w:tc>
      </w:tr>
      <w:tr w14:paraId="063B299A">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2110B3B1">
            <w:pPr>
              <w:pStyle w:val="88"/>
              <w:spacing w:before="31" w:after="31"/>
              <w:rPr>
                <w:rFonts w:hint="default"/>
                <w:color w:val="000000"/>
              </w:rPr>
            </w:pPr>
            <w:r>
              <w:rPr>
                <w:rFonts w:hint="default"/>
                <w:color w:val="000000"/>
              </w:rPr>
              <w:t>机构及零部件</w:t>
            </w:r>
          </w:p>
        </w:tc>
        <w:tc>
          <w:tcPr>
            <w:tcW w:w="513" w:type="dxa"/>
            <w:noWrap/>
            <w:vAlign w:val="center"/>
          </w:tcPr>
          <w:p w14:paraId="7108B3F1">
            <w:pPr>
              <w:pStyle w:val="88"/>
              <w:numPr>
                <w:ilvl w:val="0"/>
                <w:numId w:val="9"/>
              </w:numPr>
              <w:tabs>
                <w:tab w:val="clear" w:pos="0"/>
              </w:tabs>
              <w:spacing w:before="31" w:after="31"/>
              <w:rPr>
                <w:rFonts w:hint="default"/>
                <w:color w:val="000000"/>
              </w:rPr>
            </w:pPr>
          </w:p>
        </w:tc>
        <w:tc>
          <w:tcPr>
            <w:tcW w:w="6041" w:type="dxa"/>
            <w:noWrap/>
            <w:vAlign w:val="center"/>
          </w:tcPr>
          <w:p w14:paraId="0D2BA32F">
            <w:pPr>
              <w:pStyle w:val="88"/>
              <w:spacing w:before="31" w:after="31"/>
              <w:rPr>
                <w:rFonts w:hint="default"/>
                <w:color w:val="000000"/>
              </w:rPr>
            </w:pPr>
            <w:r>
              <w:rPr>
                <w:rFonts w:hint="default"/>
                <w:color w:val="000000"/>
              </w:rPr>
              <w:t>吊钩钩体无裂纹、补焊，危险截面、钩筋无塑性变形，挂绳处截面磨损量＜原高度的10%</w:t>
            </w:r>
          </w:p>
        </w:tc>
        <w:tc>
          <w:tcPr>
            <w:tcW w:w="1229" w:type="dxa"/>
            <w:noWrap/>
            <w:vAlign w:val="center"/>
          </w:tcPr>
          <w:p w14:paraId="2B0C64E2">
            <w:pPr>
              <w:pStyle w:val="88"/>
              <w:spacing w:before="31" w:after="31"/>
              <w:rPr>
                <w:rFonts w:hint="default"/>
                <w:color w:val="000000"/>
              </w:rPr>
            </w:pPr>
          </w:p>
        </w:tc>
      </w:tr>
      <w:tr w14:paraId="6829013A">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36EEAC8D">
            <w:pPr>
              <w:pStyle w:val="88"/>
              <w:spacing w:before="31" w:after="31"/>
              <w:rPr>
                <w:rFonts w:hint="default"/>
                <w:color w:val="000000"/>
              </w:rPr>
            </w:pPr>
          </w:p>
        </w:tc>
        <w:tc>
          <w:tcPr>
            <w:tcW w:w="513" w:type="dxa"/>
            <w:noWrap/>
            <w:vAlign w:val="center"/>
          </w:tcPr>
          <w:p w14:paraId="6C355767">
            <w:pPr>
              <w:pStyle w:val="88"/>
              <w:numPr>
                <w:ilvl w:val="0"/>
                <w:numId w:val="9"/>
              </w:numPr>
              <w:tabs>
                <w:tab w:val="clear" w:pos="0"/>
              </w:tabs>
              <w:spacing w:before="31" w:after="31"/>
              <w:rPr>
                <w:rFonts w:hint="default"/>
                <w:color w:val="000000"/>
              </w:rPr>
            </w:pPr>
          </w:p>
        </w:tc>
        <w:tc>
          <w:tcPr>
            <w:tcW w:w="6041" w:type="dxa"/>
            <w:noWrap/>
            <w:vAlign w:val="center"/>
          </w:tcPr>
          <w:p w14:paraId="2519680B">
            <w:pPr>
              <w:pStyle w:val="88"/>
              <w:spacing w:before="31" w:after="31"/>
              <w:rPr>
                <w:rFonts w:hint="default"/>
                <w:color w:val="000000"/>
              </w:rPr>
            </w:pPr>
            <w:r>
              <w:rPr>
                <w:rFonts w:hint="default"/>
                <w:color w:val="000000"/>
              </w:rPr>
              <w:t>滑轮转动灵活可靠，无卡塞现象；无裂纹或轮缘破损；滑轮绳槽壁厚磨损量＜原壁厚的20%；滑轮槽底的磨损量＜相应钢丝绳直径的25%</w:t>
            </w:r>
          </w:p>
        </w:tc>
        <w:tc>
          <w:tcPr>
            <w:tcW w:w="1229" w:type="dxa"/>
            <w:noWrap/>
            <w:vAlign w:val="center"/>
          </w:tcPr>
          <w:p w14:paraId="24001415">
            <w:pPr>
              <w:pStyle w:val="88"/>
              <w:spacing w:before="31" w:after="31"/>
              <w:rPr>
                <w:rFonts w:hint="default"/>
                <w:color w:val="000000"/>
              </w:rPr>
            </w:pPr>
          </w:p>
        </w:tc>
      </w:tr>
      <w:tr w14:paraId="01301F50">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9A5ED4E">
            <w:pPr>
              <w:pStyle w:val="88"/>
              <w:spacing w:before="31" w:after="31"/>
              <w:rPr>
                <w:rFonts w:hint="default"/>
                <w:color w:val="000000"/>
              </w:rPr>
            </w:pPr>
          </w:p>
        </w:tc>
        <w:tc>
          <w:tcPr>
            <w:tcW w:w="513" w:type="dxa"/>
            <w:noWrap/>
            <w:vAlign w:val="center"/>
          </w:tcPr>
          <w:p w14:paraId="494A0C85">
            <w:pPr>
              <w:pStyle w:val="88"/>
              <w:numPr>
                <w:ilvl w:val="0"/>
                <w:numId w:val="9"/>
              </w:numPr>
              <w:tabs>
                <w:tab w:val="clear" w:pos="0"/>
              </w:tabs>
              <w:spacing w:before="31" w:after="31"/>
              <w:rPr>
                <w:rFonts w:hint="default"/>
                <w:color w:val="000000"/>
              </w:rPr>
            </w:pPr>
          </w:p>
        </w:tc>
        <w:tc>
          <w:tcPr>
            <w:tcW w:w="6041" w:type="dxa"/>
            <w:noWrap/>
            <w:vAlign w:val="center"/>
          </w:tcPr>
          <w:p w14:paraId="76F68103">
            <w:pPr>
              <w:pStyle w:val="88"/>
              <w:spacing w:before="31" w:after="31"/>
              <w:rPr>
                <w:rFonts w:hint="default"/>
                <w:color w:val="000000"/>
              </w:rPr>
            </w:pPr>
            <w:r>
              <w:rPr>
                <w:rFonts w:hint="default"/>
                <w:color w:val="000000"/>
              </w:rPr>
              <w:t>滑轮上的钢丝绳防脱装置应完整、可靠，该装置与滑轮最外缘的间隙≤钢丝绳直径的20%</w:t>
            </w:r>
          </w:p>
        </w:tc>
        <w:tc>
          <w:tcPr>
            <w:tcW w:w="1229" w:type="dxa"/>
            <w:noWrap/>
            <w:vAlign w:val="center"/>
          </w:tcPr>
          <w:p w14:paraId="638DBD75">
            <w:pPr>
              <w:pStyle w:val="88"/>
              <w:spacing w:before="31" w:after="31"/>
              <w:rPr>
                <w:rFonts w:hint="default"/>
                <w:color w:val="000000"/>
              </w:rPr>
            </w:pPr>
          </w:p>
        </w:tc>
      </w:tr>
      <w:tr w14:paraId="04152AE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center"/>
          </w:tcPr>
          <w:p w14:paraId="6099484B">
            <w:pPr>
              <w:pStyle w:val="88"/>
              <w:spacing w:before="31" w:after="31"/>
              <w:rPr>
                <w:rFonts w:hint="default"/>
                <w:color w:val="000000"/>
              </w:rPr>
            </w:pPr>
          </w:p>
        </w:tc>
        <w:tc>
          <w:tcPr>
            <w:tcW w:w="513" w:type="dxa"/>
            <w:noWrap/>
            <w:vAlign w:val="center"/>
          </w:tcPr>
          <w:p w14:paraId="1F717105">
            <w:pPr>
              <w:pStyle w:val="88"/>
              <w:numPr>
                <w:ilvl w:val="0"/>
                <w:numId w:val="9"/>
              </w:numPr>
              <w:tabs>
                <w:tab w:val="clear" w:pos="0"/>
              </w:tabs>
              <w:spacing w:before="31" w:after="31"/>
              <w:rPr>
                <w:rFonts w:hint="default"/>
                <w:color w:val="000000"/>
              </w:rPr>
            </w:pPr>
          </w:p>
        </w:tc>
        <w:tc>
          <w:tcPr>
            <w:tcW w:w="6041" w:type="dxa"/>
            <w:noWrap/>
            <w:vAlign w:val="center"/>
          </w:tcPr>
          <w:p w14:paraId="42C5A921">
            <w:pPr>
              <w:pStyle w:val="88"/>
              <w:spacing w:before="31" w:after="31"/>
              <w:rPr>
                <w:rFonts w:hint="default"/>
                <w:color w:val="000000"/>
              </w:rPr>
            </w:pPr>
            <w:r>
              <w:rPr>
                <w:rFonts w:hint="default"/>
                <w:color w:val="000000"/>
              </w:rPr>
              <w:t>吊钩防钢丝绳脱钩装置应完整可靠</w:t>
            </w:r>
          </w:p>
        </w:tc>
        <w:tc>
          <w:tcPr>
            <w:tcW w:w="1229" w:type="dxa"/>
            <w:noWrap/>
            <w:vAlign w:val="center"/>
          </w:tcPr>
          <w:p w14:paraId="7D9FC3EC">
            <w:pPr>
              <w:pStyle w:val="88"/>
              <w:spacing w:before="31" w:after="31"/>
              <w:rPr>
                <w:rFonts w:hint="default"/>
                <w:color w:val="000000"/>
              </w:rPr>
            </w:pPr>
          </w:p>
        </w:tc>
      </w:tr>
      <w:tr w14:paraId="5CE97954">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53B9863D">
            <w:pPr>
              <w:pStyle w:val="88"/>
              <w:spacing w:before="31" w:after="31"/>
              <w:rPr>
                <w:rFonts w:hint="default"/>
                <w:color w:val="000000"/>
              </w:rPr>
            </w:pPr>
          </w:p>
        </w:tc>
        <w:tc>
          <w:tcPr>
            <w:tcW w:w="513" w:type="dxa"/>
            <w:noWrap/>
            <w:vAlign w:val="center"/>
          </w:tcPr>
          <w:p w14:paraId="15B6158B">
            <w:pPr>
              <w:pStyle w:val="88"/>
              <w:numPr>
                <w:ilvl w:val="0"/>
                <w:numId w:val="9"/>
              </w:numPr>
              <w:tabs>
                <w:tab w:val="clear" w:pos="0"/>
              </w:tabs>
              <w:spacing w:before="31" w:after="31"/>
              <w:rPr>
                <w:rFonts w:hint="default"/>
                <w:color w:val="000000"/>
              </w:rPr>
            </w:pPr>
          </w:p>
        </w:tc>
        <w:tc>
          <w:tcPr>
            <w:tcW w:w="6041" w:type="dxa"/>
            <w:noWrap/>
            <w:vAlign w:val="center"/>
          </w:tcPr>
          <w:p w14:paraId="656377CC">
            <w:pPr>
              <w:pStyle w:val="88"/>
              <w:spacing w:before="31" w:after="31"/>
              <w:rPr>
                <w:rFonts w:hint="default"/>
                <w:color w:val="000000"/>
              </w:rPr>
            </w:pPr>
            <w:r>
              <w:rPr>
                <w:rFonts w:hint="default"/>
                <w:color w:val="000000"/>
              </w:rPr>
              <w:t>卷筒壁不应有裂纹，筒壁磨损量＜原壁厚的10%；多层缠绕的卷筒，端部应有比最外层钢丝绳高出2倍钢丝绳直径的凸缘</w:t>
            </w:r>
          </w:p>
        </w:tc>
        <w:tc>
          <w:tcPr>
            <w:tcW w:w="1229" w:type="dxa"/>
            <w:noWrap/>
            <w:vAlign w:val="top"/>
          </w:tcPr>
          <w:p w14:paraId="2B0367A4">
            <w:pPr>
              <w:pStyle w:val="88"/>
              <w:spacing w:before="31" w:after="31"/>
              <w:rPr>
                <w:rFonts w:hint="default"/>
                <w:color w:val="000000"/>
              </w:rPr>
            </w:pPr>
          </w:p>
        </w:tc>
      </w:tr>
      <w:tr w14:paraId="2C881AF1">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042BE65D">
            <w:pPr>
              <w:pStyle w:val="88"/>
              <w:spacing w:before="31" w:after="31"/>
              <w:rPr>
                <w:rFonts w:hint="default"/>
                <w:color w:val="000000"/>
              </w:rPr>
            </w:pPr>
          </w:p>
        </w:tc>
        <w:tc>
          <w:tcPr>
            <w:tcW w:w="513" w:type="dxa"/>
            <w:noWrap/>
            <w:vAlign w:val="center"/>
          </w:tcPr>
          <w:p w14:paraId="66AB0F36">
            <w:pPr>
              <w:pStyle w:val="88"/>
              <w:numPr>
                <w:ilvl w:val="0"/>
                <w:numId w:val="9"/>
              </w:numPr>
              <w:tabs>
                <w:tab w:val="clear" w:pos="0"/>
              </w:tabs>
              <w:spacing w:before="31" w:after="31"/>
              <w:rPr>
                <w:rFonts w:hint="default"/>
                <w:color w:val="000000"/>
              </w:rPr>
            </w:pPr>
          </w:p>
        </w:tc>
        <w:tc>
          <w:tcPr>
            <w:tcW w:w="6041" w:type="dxa"/>
            <w:noWrap/>
            <w:vAlign w:val="center"/>
          </w:tcPr>
          <w:p w14:paraId="759D2374">
            <w:pPr>
              <w:pStyle w:val="88"/>
              <w:spacing w:before="31" w:after="31"/>
              <w:rPr>
                <w:rFonts w:hint="default"/>
                <w:color w:val="000000"/>
              </w:rPr>
            </w:pPr>
            <w:r>
              <w:rPr>
                <w:rFonts w:hint="default"/>
                <w:color w:val="000000"/>
              </w:rPr>
              <w:t>卷筒上钢丝绳应排列有序，有钢丝绳防脱槽装置。该装置与卷筒最外缘的间隙≤钢丝绳直径的20%</w:t>
            </w:r>
          </w:p>
        </w:tc>
        <w:tc>
          <w:tcPr>
            <w:tcW w:w="1229" w:type="dxa"/>
            <w:noWrap/>
            <w:vAlign w:val="center"/>
          </w:tcPr>
          <w:p w14:paraId="314026AE">
            <w:pPr>
              <w:pStyle w:val="88"/>
              <w:spacing w:before="31" w:after="31"/>
              <w:rPr>
                <w:rFonts w:hint="default"/>
                <w:color w:val="000000"/>
              </w:rPr>
            </w:pPr>
          </w:p>
        </w:tc>
      </w:tr>
      <w:tr w14:paraId="1486F32E">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73ED1A8D">
            <w:pPr>
              <w:pStyle w:val="88"/>
              <w:spacing w:before="31" w:after="31"/>
              <w:rPr>
                <w:rFonts w:hint="default"/>
                <w:color w:val="000000"/>
              </w:rPr>
            </w:pPr>
          </w:p>
        </w:tc>
        <w:tc>
          <w:tcPr>
            <w:tcW w:w="513" w:type="dxa"/>
            <w:noWrap/>
            <w:vAlign w:val="center"/>
          </w:tcPr>
          <w:p w14:paraId="7B0B686F">
            <w:pPr>
              <w:pStyle w:val="88"/>
              <w:numPr>
                <w:ilvl w:val="0"/>
                <w:numId w:val="9"/>
              </w:numPr>
              <w:tabs>
                <w:tab w:val="clear" w:pos="0"/>
              </w:tabs>
              <w:spacing w:before="31" w:after="31"/>
              <w:rPr>
                <w:rFonts w:hint="default"/>
                <w:color w:val="000000"/>
              </w:rPr>
            </w:pPr>
          </w:p>
        </w:tc>
        <w:tc>
          <w:tcPr>
            <w:tcW w:w="6041" w:type="dxa"/>
            <w:noWrap/>
            <w:vAlign w:val="center"/>
          </w:tcPr>
          <w:p w14:paraId="5BEC7D62">
            <w:pPr>
              <w:pStyle w:val="88"/>
              <w:spacing w:before="31" w:after="31"/>
              <w:rPr>
                <w:rFonts w:hint="default"/>
                <w:color w:val="000000"/>
              </w:rPr>
            </w:pPr>
            <w:r>
              <w:rPr>
                <w:rFonts w:hint="default"/>
                <w:color w:val="000000"/>
              </w:rPr>
              <w:t>钢丝绳穿绕正确，无干涉；钢丝绳规格符合说明书规定，端部应固结可靠；使用应符合GB5972—2009规定</w:t>
            </w:r>
          </w:p>
        </w:tc>
        <w:tc>
          <w:tcPr>
            <w:tcW w:w="1229" w:type="dxa"/>
            <w:noWrap/>
            <w:vAlign w:val="center"/>
          </w:tcPr>
          <w:p w14:paraId="74E22CA9">
            <w:pPr>
              <w:pStyle w:val="88"/>
              <w:spacing w:before="31" w:after="31"/>
              <w:rPr>
                <w:rFonts w:hint="default"/>
                <w:color w:val="000000"/>
              </w:rPr>
            </w:pPr>
          </w:p>
        </w:tc>
      </w:tr>
      <w:tr w14:paraId="57C78DD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0C0089A1">
            <w:pPr>
              <w:pStyle w:val="88"/>
              <w:spacing w:before="31" w:after="31"/>
              <w:rPr>
                <w:rFonts w:hint="default"/>
                <w:color w:val="000000"/>
              </w:rPr>
            </w:pPr>
          </w:p>
        </w:tc>
        <w:tc>
          <w:tcPr>
            <w:tcW w:w="513" w:type="dxa"/>
            <w:noWrap/>
            <w:vAlign w:val="center"/>
          </w:tcPr>
          <w:p w14:paraId="748EAE49">
            <w:pPr>
              <w:pStyle w:val="88"/>
              <w:numPr>
                <w:ilvl w:val="0"/>
                <w:numId w:val="9"/>
              </w:numPr>
              <w:tabs>
                <w:tab w:val="clear" w:pos="0"/>
              </w:tabs>
              <w:spacing w:before="31" w:after="31"/>
              <w:rPr>
                <w:rFonts w:hint="default"/>
                <w:color w:val="000000"/>
              </w:rPr>
            </w:pPr>
          </w:p>
        </w:tc>
        <w:tc>
          <w:tcPr>
            <w:tcW w:w="6041" w:type="dxa"/>
            <w:noWrap/>
            <w:vAlign w:val="center"/>
          </w:tcPr>
          <w:p w14:paraId="3FB12A70">
            <w:pPr>
              <w:pStyle w:val="88"/>
              <w:spacing w:before="31" w:after="31"/>
              <w:rPr>
                <w:rFonts w:hint="default"/>
                <w:color w:val="000000"/>
              </w:rPr>
            </w:pPr>
            <w:r>
              <w:rPr>
                <w:rFonts w:hint="default"/>
                <w:color w:val="000000"/>
              </w:rPr>
              <w:t>制动器不应有裂纹、过度磨损、塑性变形、缺件等缺陷，调整适宜，制动平稳可靠</w:t>
            </w:r>
          </w:p>
        </w:tc>
        <w:tc>
          <w:tcPr>
            <w:tcW w:w="1229" w:type="dxa"/>
            <w:noWrap/>
            <w:vAlign w:val="center"/>
          </w:tcPr>
          <w:p w14:paraId="1ABC210E">
            <w:pPr>
              <w:pStyle w:val="88"/>
              <w:spacing w:before="31" w:after="31"/>
              <w:rPr>
                <w:rFonts w:hint="default"/>
                <w:color w:val="000000"/>
              </w:rPr>
            </w:pPr>
          </w:p>
        </w:tc>
      </w:tr>
      <w:tr w14:paraId="17F8AD12">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3545D52D">
            <w:pPr>
              <w:pStyle w:val="88"/>
              <w:spacing w:before="31" w:after="31"/>
              <w:rPr>
                <w:rFonts w:hint="default"/>
                <w:color w:val="000000"/>
              </w:rPr>
            </w:pPr>
          </w:p>
        </w:tc>
        <w:tc>
          <w:tcPr>
            <w:tcW w:w="513" w:type="dxa"/>
            <w:noWrap/>
            <w:vAlign w:val="center"/>
          </w:tcPr>
          <w:p w14:paraId="41144953">
            <w:pPr>
              <w:pStyle w:val="88"/>
              <w:numPr>
                <w:ilvl w:val="0"/>
                <w:numId w:val="9"/>
              </w:numPr>
              <w:tabs>
                <w:tab w:val="clear" w:pos="0"/>
              </w:tabs>
              <w:spacing w:before="31" w:after="31"/>
              <w:rPr>
                <w:rFonts w:hint="default"/>
                <w:color w:val="000000"/>
              </w:rPr>
            </w:pPr>
          </w:p>
        </w:tc>
        <w:tc>
          <w:tcPr>
            <w:tcW w:w="6041" w:type="dxa"/>
            <w:noWrap/>
            <w:vAlign w:val="center"/>
          </w:tcPr>
          <w:p w14:paraId="246BDDFE">
            <w:pPr>
              <w:pStyle w:val="88"/>
              <w:spacing w:before="31" w:after="31"/>
              <w:rPr>
                <w:rFonts w:hint="default"/>
                <w:color w:val="000000"/>
              </w:rPr>
            </w:pPr>
            <w:r>
              <w:rPr>
                <w:rFonts w:hint="default"/>
                <w:color w:val="000000"/>
              </w:rPr>
              <w:t>传动装置固定牢固，运行平稳</w:t>
            </w:r>
          </w:p>
        </w:tc>
        <w:tc>
          <w:tcPr>
            <w:tcW w:w="1229" w:type="dxa"/>
            <w:noWrap/>
            <w:vAlign w:val="center"/>
          </w:tcPr>
          <w:p w14:paraId="4E2B2A50">
            <w:pPr>
              <w:pStyle w:val="88"/>
              <w:spacing w:before="31" w:after="31"/>
              <w:rPr>
                <w:rFonts w:hint="default"/>
                <w:color w:val="000000"/>
              </w:rPr>
            </w:pPr>
          </w:p>
        </w:tc>
      </w:tr>
      <w:tr w14:paraId="41B1FC8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6CAE69DF">
            <w:pPr>
              <w:pStyle w:val="88"/>
              <w:spacing w:before="31" w:after="31"/>
              <w:rPr>
                <w:rFonts w:hint="default"/>
                <w:color w:val="000000"/>
              </w:rPr>
            </w:pPr>
          </w:p>
        </w:tc>
        <w:tc>
          <w:tcPr>
            <w:tcW w:w="513" w:type="dxa"/>
            <w:noWrap/>
            <w:vAlign w:val="center"/>
          </w:tcPr>
          <w:p w14:paraId="63A983D3">
            <w:pPr>
              <w:pStyle w:val="88"/>
              <w:numPr>
                <w:ilvl w:val="0"/>
                <w:numId w:val="9"/>
              </w:numPr>
              <w:tabs>
                <w:tab w:val="clear" w:pos="0"/>
              </w:tabs>
              <w:spacing w:before="31" w:after="31"/>
              <w:rPr>
                <w:rFonts w:hint="default"/>
                <w:color w:val="000000"/>
              </w:rPr>
            </w:pPr>
          </w:p>
        </w:tc>
        <w:tc>
          <w:tcPr>
            <w:tcW w:w="6041" w:type="dxa"/>
            <w:noWrap/>
            <w:vAlign w:val="center"/>
          </w:tcPr>
          <w:p w14:paraId="0E7741A3">
            <w:pPr>
              <w:pStyle w:val="88"/>
              <w:spacing w:before="31" w:after="31"/>
              <w:rPr>
                <w:rFonts w:hint="default"/>
                <w:color w:val="000000"/>
              </w:rPr>
            </w:pPr>
            <w:r>
              <w:rPr>
                <w:rFonts w:hint="default"/>
                <w:color w:val="000000"/>
              </w:rPr>
              <w:t>有可能伤人的活动零部件的防护罩齐全</w:t>
            </w:r>
          </w:p>
        </w:tc>
        <w:tc>
          <w:tcPr>
            <w:tcW w:w="1229" w:type="dxa"/>
            <w:noWrap/>
            <w:vAlign w:val="center"/>
          </w:tcPr>
          <w:p w14:paraId="7FC45012">
            <w:pPr>
              <w:pStyle w:val="88"/>
              <w:spacing w:before="31" w:after="31"/>
              <w:rPr>
                <w:rFonts w:hint="default"/>
                <w:color w:val="000000"/>
              </w:rPr>
            </w:pPr>
          </w:p>
        </w:tc>
      </w:tr>
      <w:tr w14:paraId="76B87AC7">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4B798398">
            <w:pPr>
              <w:pStyle w:val="88"/>
              <w:spacing w:before="31" w:after="31"/>
              <w:rPr>
                <w:rFonts w:hint="default"/>
                <w:color w:val="000000"/>
              </w:rPr>
            </w:pPr>
            <w:r>
              <w:rPr>
                <w:rFonts w:hint="default"/>
                <w:color w:val="000000"/>
              </w:rPr>
              <w:t>电气系统</w:t>
            </w:r>
          </w:p>
        </w:tc>
        <w:tc>
          <w:tcPr>
            <w:tcW w:w="513" w:type="dxa"/>
            <w:noWrap/>
            <w:vAlign w:val="center"/>
          </w:tcPr>
          <w:p w14:paraId="4CD54C71">
            <w:pPr>
              <w:pStyle w:val="88"/>
              <w:numPr>
                <w:ilvl w:val="0"/>
                <w:numId w:val="9"/>
              </w:numPr>
              <w:tabs>
                <w:tab w:val="clear" w:pos="0"/>
              </w:tabs>
              <w:spacing w:before="31" w:after="31"/>
              <w:rPr>
                <w:rFonts w:hint="default"/>
                <w:color w:val="000000"/>
              </w:rPr>
            </w:pPr>
          </w:p>
        </w:tc>
        <w:tc>
          <w:tcPr>
            <w:tcW w:w="6041" w:type="dxa"/>
            <w:noWrap/>
            <w:vAlign w:val="center"/>
          </w:tcPr>
          <w:p w14:paraId="79655BBE">
            <w:pPr>
              <w:pStyle w:val="88"/>
              <w:spacing w:before="31" w:after="31"/>
              <w:rPr>
                <w:rFonts w:hint="default"/>
                <w:color w:val="000000"/>
              </w:rPr>
            </w:pPr>
            <w:r>
              <w:rPr>
                <w:rFonts w:hint="default"/>
                <w:color w:val="000000"/>
              </w:rPr>
              <w:t>仪表、照明、报警系统完好、可靠；控制、操纵装置动作灵活、可靠</w:t>
            </w:r>
          </w:p>
        </w:tc>
        <w:tc>
          <w:tcPr>
            <w:tcW w:w="1229" w:type="dxa"/>
            <w:noWrap/>
            <w:vAlign w:val="center"/>
          </w:tcPr>
          <w:p w14:paraId="4E6C75D9">
            <w:pPr>
              <w:pStyle w:val="88"/>
              <w:spacing w:before="31" w:after="31"/>
              <w:rPr>
                <w:rFonts w:hint="default"/>
                <w:color w:val="000000"/>
              </w:rPr>
            </w:pPr>
          </w:p>
        </w:tc>
      </w:tr>
      <w:tr w14:paraId="7587AC4C">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36A77637">
            <w:pPr>
              <w:pStyle w:val="88"/>
              <w:spacing w:before="31" w:after="31"/>
              <w:rPr>
                <w:rFonts w:hint="default"/>
                <w:color w:val="000000"/>
              </w:rPr>
            </w:pPr>
          </w:p>
        </w:tc>
        <w:tc>
          <w:tcPr>
            <w:tcW w:w="513" w:type="dxa"/>
            <w:noWrap/>
            <w:vAlign w:val="center"/>
          </w:tcPr>
          <w:p w14:paraId="21C711CD">
            <w:pPr>
              <w:pStyle w:val="88"/>
              <w:numPr>
                <w:ilvl w:val="0"/>
                <w:numId w:val="9"/>
              </w:numPr>
              <w:tabs>
                <w:tab w:val="clear" w:pos="0"/>
              </w:tabs>
              <w:spacing w:before="31" w:after="31"/>
              <w:rPr>
                <w:rFonts w:hint="default"/>
                <w:color w:val="000000"/>
              </w:rPr>
            </w:pPr>
          </w:p>
        </w:tc>
        <w:tc>
          <w:tcPr>
            <w:tcW w:w="6041" w:type="dxa"/>
            <w:noWrap/>
            <w:vAlign w:val="center"/>
          </w:tcPr>
          <w:p w14:paraId="1C936139">
            <w:pPr>
              <w:pStyle w:val="88"/>
              <w:spacing w:before="31" w:after="31"/>
              <w:rPr>
                <w:rFonts w:hint="default"/>
                <w:color w:val="000000"/>
              </w:rPr>
            </w:pPr>
            <w:r>
              <w:rPr>
                <w:rFonts w:hint="default"/>
                <w:color w:val="000000"/>
              </w:rPr>
              <w:t>短路、过电流、失压及零位保护灵敏可靠</w:t>
            </w:r>
          </w:p>
        </w:tc>
        <w:tc>
          <w:tcPr>
            <w:tcW w:w="1229" w:type="dxa"/>
            <w:noWrap/>
            <w:vAlign w:val="center"/>
          </w:tcPr>
          <w:p w14:paraId="2393B555">
            <w:pPr>
              <w:pStyle w:val="88"/>
              <w:spacing w:before="31" w:after="31"/>
              <w:rPr>
                <w:rFonts w:hint="default"/>
                <w:color w:val="000000"/>
              </w:rPr>
            </w:pPr>
          </w:p>
        </w:tc>
      </w:tr>
      <w:tr w14:paraId="142F64E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2F896701">
            <w:pPr>
              <w:pStyle w:val="88"/>
              <w:spacing w:before="31" w:after="31"/>
              <w:rPr>
                <w:rFonts w:hint="default"/>
                <w:color w:val="000000"/>
              </w:rPr>
            </w:pPr>
          </w:p>
        </w:tc>
        <w:tc>
          <w:tcPr>
            <w:tcW w:w="513" w:type="dxa"/>
            <w:noWrap/>
            <w:vAlign w:val="center"/>
          </w:tcPr>
          <w:p w14:paraId="290B6133">
            <w:pPr>
              <w:pStyle w:val="88"/>
              <w:numPr>
                <w:ilvl w:val="0"/>
                <w:numId w:val="9"/>
              </w:numPr>
              <w:tabs>
                <w:tab w:val="clear" w:pos="0"/>
              </w:tabs>
              <w:spacing w:before="31" w:after="31"/>
              <w:rPr>
                <w:rFonts w:hint="default"/>
                <w:color w:val="000000"/>
              </w:rPr>
            </w:pPr>
          </w:p>
        </w:tc>
        <w:tc>
          <w:tcPr>
            <w:tcW w:w="6041" w:type="dxa"/>
            <w:noWrap/>
            <w:vAlign w:val="center"/>
          </w:tcPr>
          <w:p w14:paraId="52CE49EA">
            <w:pPr>
              <w:pStyle w:val="88"/>
              <w:spacing w:before="31" w:after="31"/>
              <w:rPr>
                <w:rFonts w:hint="default"/>
                <w:color w:val="000000"/>
              </w:rPr>
            </w:pPr>
            <w:r>
              <w:rPr>
                <w:rFonts w:hint="default"/>
                <w:color w:val="000000"/>
              </w:rPr>
              <w:t>切断总电源的急停开关应为非自动复位型，可靠有效</w:t>
            </w:r>
          </w:p>
        </w:tc>
        <w:tc>
          <w:tcPr>
            <w:tcW w:w="1229" w:type="dxa"/>
            <w:noWrap/>
            <w:vAlign w:val="center"/>
          </w:tcPr>
          <w:p w14:paraId="4B64BDA8">
            <w:pPr>
              <w:pStyle w:val="88"/>
              <w:spacing w:before="31" w:after="31"/>
              <w:rPr>
                <w:rFonts w:hint="default"/>
                <w:color w:val="000000"/>
              </w:rPr>
            </w:pPr>
          </w:p>
        </w:tc>
      </w:tr>
      <w:tr w14:paraId="487D3A49">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464001E0">
            <w:pPr>
              <w:pStyle w:val="88"/>
              <w:spacing w:before="31" w:after="31"/>
              <w:rPr>
                <w:rFonts w:hint="default"/>
                <w:color w:val="000000"/>
              </w:rPr>
            </w:pPr>
          </w:p>
        </w:tc>
        <w:tc>
          <w:tcPr>
            <w:tcW w:w="513" w:type="dxa"/>
            <w:noWrap/>
            <w:vAlign w:val="center"/>
          </w:tcPr>
          <w:p w14:paraId="416D8782">
            <w:pPr>
              <w:pStyle w:val="88"/>
              <w:numPr>
                <w:ilvl w:val="0"/>
                <w:numId w:val="9"/>
              </w:numPr>
              <w:tabs>
                <w:tab w:val="clear" w:pos="0"/>
              </w:tabs>
              <w:spacing w:before="31" w:after="31"/>
              <w:rPr>
                <w:rFonts w:hint="default"/>
                <w:color w:val="000000"/>
              </w:rPr>
            </w:pPr>
          </w:p>
        </w:tc>
        <w:tc>
          <w:tcPr>
            <w:tcW w:w="6041" w:type="dxa"/>
            <w:noWrap/>
            <w:vAlign w:val="center"/>
          </w:tcPr>
          <w:p w14:paraId="6FE13575">
            <w:pPr>
              <w:pStyle w:val="88"/>
              <w:spacing w:before="31" w:after="31"/>
              <w:rPr>
                <w:rFonts w:hint="default"/>
                <w:color w:val="000000"/>
              </w:rPr>
            </w:pPr>
            <w:r>
              <w:rPr>
                <w:rFonts w:hint="default"/>
                <w:color w:val="000000"/>
              </w:rPr>
              <w:t>主电路和控制电路的对地绝缘电阻≥0.5MΩ</w:t>
            </w:r>
          </w:p>
        </w:tc>
        <w:tc>
          <w:tcPr>
            <w:tcW w:w="1229" w:type="dxa"/>
            <w:noWrap/>
            <w:vAlign w:val="center"/>
          </w:tcPr>
          <w:p w14:paraId="5157D40D">
            <w:pPr>
              <w:pStyle w:val="88"/>
              <w:spacing w:before="31" w:after="31"/>
              <w:rPr>
                <w:rFonts w:hint="default"/>
                <w:color w:val="000000"/>
              </w:rPr>
            </w:pPr>
          </w:p>
        </w:tc>
      </w:tr>
      <w:tr w14:paraId="56D114E2">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55EB3E2F">
            <w:pPr>
              <w:pStyle w:val="88"/>
              <w:spacing w:before="31" w:after="31"/>
              <w:rPr>
                <w:rFonts w:hint="default"/>
                <w:color w:val="000000"/>
              </w:rPr>
            </w:pPr>
          </w:p>
        </w:tc>
        <w:tc>
          <w:tcPr>
            <w:tcW w:w="513" w:type="dxa"/>
            <w:noWrap/>
            <w:vAlign w:val="center"/>
          </w:tcPr>
          <w:p w14:paraId="28214803">
            <w:pPr>
              <w:pStyle w:val="88"/>
              <w:numPr>
                <w:ilvl w:val="0"/>
                <w:numId w:val="9"/>
              </w:numPr>
              <w:tabs>
                <w:tab w:val="clear" w:pos="0"/>
              </w:tabs>
              <w:spacing w:before="31" w:after="31"/>
              <w:rPr>
                <w:rFonts w:hint="default"/>
                <w:color w:val="000000"/>
              </w:rPr>
            </w:pPr>
          </w:p>
        </w:tc>
        <w:tc>
          <w:tcPr>
            <w:tcW w:w="6041" w:type="dxa"/>
            <w:noWrap/>
            <w:vAlign w:val="center"/>
          </w:tcPr>
          <w:p w14:paraId="3874923A">
            <w:pPr>
              <w:pStyle w:val="88"/>
              <w:spacing w:before="31" w:after="31"/>
              <w:rPr>
                <w:rFonts w:hint="default"/>
                <w:color w:val="000000"/>
              </w:rPr>
            </w:pPr>
            <w:r>
              <w:rPr>
                <w:rFonts w:hint="default"/>
                <w:color w:val="000000"/>
              </w:rPr>
              <w:t>声响信号完好</w:t>
            </w:r>
          </w:p>
        </w:tc>
        <w:tc>
          <w:tcPr>
            <w:tcW w:w="1229" w:type="dxa"/>
            <w:noWrap/>
            <w:vAlign w:val="center"/>
          </w:tcPr>
          <w:p w14:paraId="263F54D9">
            <w:pPr>
              <w:pStyle w:val="88"/>
              <w:spacing w:before="31" w:after="31"/>
              <w:rPr>
                <w:rFonts w:hint="default"/>
                <w:color w:val="000000"/>
              </w:rPr>
            </w:pPr>
          </w:p>
        </w:tc>
      </w:tr>
      <w:tr w14:paraId="5688631B">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5528FEE3">
            <w:pPr>
              <w:pStyle w:val="88"/>
              <w:spacing w:before="31" w:after="31"/>
              <w:rPr>
                <w:rFonts w:hint="default"/>
                <w:color w:val="000000"/>
              </w:rPr>
            </w:pPr>
          </w:p>
        </w:tc>
        <w:tc>
          <w:tcPr>
            <w:tcW w:w="513" w:type="dxa"/>
            <w:noWrap/>
            <w:vAlign w:val="center"/>
          </w:tcPr>
          <w:p w14:paraId="68E17B38">
            <w:pPr>
              <w:pStyle w:val="88"/>
              <w:numPr>
                <w:ilvl w:val="0"/>
                <w:numId w:val="9"/>
              </w:numPr>
              <w:tabs>
                <w:tab w:val="clear" w:pos="0"/>
              </w:tabs>
              <w:spacing w:before="31" w:after="31"/>
              <w:rPr>
                <w:rFonts w:hint="default"/>
                <w:color w:val="000000"/>
              </w:rPr>
            </w:pPr>
          </w:p>
        </w:tc>
        <w:tc>
          <w:tcPr>
            <w:tcW w:w="6041" w:type="dxa"/>
            <w:noWrap/>
            <w:vAlign w:val="center"/>
          </w:tcPr>
          <w:p w14:paraId="49024285">
            <w:pPr>
              <w:pStyle w:val="88"/>
              <w:spacing w:before="31" w:after="31"/>
              <w:rPr>
                <w:rFonts w:hint="default"/>
                <w:color w:val="000000"/>
              </w:rPr>
            </w:pPr>
            <w:r>
              <w:rPr>
                <w:rFonts w:hint="default"/>
                <w:color w:val="000000"/>
              </w:rPr>
              <w:t>专用开关箱单独设置并有警示标志</w:t>
            </w:r>
          </w:p>
        </w:tc>
        <w:tc>
          <w:tcPr>
            <w:tcW w:w="1229" w:type="dxa"/>
            <w:noWrap/>
            <w:vAlign w:val="center"/>
          </w:tcPr>
          <w:p w14:paraId="3DAE87FF">
            <w:pPr>
              <w:pStyle w:val="88"/>
              <w:spacing w:before="31" w:after="31"/>
              <w:rPr>
                <w:rFonts w:hint="default"/>
                <w:color w:val="000000"/>
              </w:rPr>
            </w:pPr>
          </w:p>
        </w:tc>
      </w:tr>
      <w:tr w14:paraId="408B593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4C5DFF7C">
            <w:pPr>
              <w:pStyle w:val="88"/>
              <w:spacing w:before="31" w:after="31"/>
              <w:rPr>
                <w:rFonts w:hint="default"/>
                <w:color w:val="000000"/>
              </w:rPr>
            </w:pPr>
          </w:p>
        </w:tc>
        <w:tc>
          <w:tcPr>
            <w:tcW w:w="513" w:type="dxa"/>
            <w:noWrap/>
            <w:vAlign w:val="center"/>
          </w:tcPr>
          <w:p w14:paraId="2645A181">
            <w:pPr>
              <w:pStyle w:val="88"/>
              <w:numPr>
                <w:ilvl w:val="0"/>
                <w:numId w:val="9"/>
              </w:numPr>
              <w:tabs>
                <w:tab w:val="clear" w:pos="0"/>
              </w:tabs>
              <w:spacing w:before="31" w:after="31"/>
              <w:rPr>
                <w:rFonts w:hint="default"/>
                <w:color w:val="000000"/>
              </w:rPr>
            </w:pPr>
          </w:p>
        </w:tc>
        <w:tc>
          <w:tcPr>
            <w:tcW w:w="6041" w:type="dxa"/>
            <w:noWrap/>
            <w:vAlign w:val="center"/>
          </w:tcPr>
          <w:p w14:paraId="4A39091C">
            <w:pPr>
              <w:pStyle w:val="88"/>
              <w:spacing w:before="31" w:after="31"/>
              <w:rPr>
                <w:rFonts w:hint="default"/>
                <w:color w:val="000000"/>
              </w:rPr>
            </w:pPr>
            <w:r>
              <w:rPr>
                <w:rFonts w:hint="default"/>
                <w:color w:val="000000"/>
              </w:rPr>
              <w:t>电缆无破损，老化，与金属接触处有绝缘材料隔离</w:t>
            </w:r>
          </w:p>
        </w:tc>
        <w:tc>
          <w:tcPr>
            <w:tcW w:w="1229" w:type="dxa"/>
            <w:noWrap/>
            <w:vAlign w:val="center"/>
          </w:tcPr>
          <w:p w14:paraId="0475E009">
            <w:pPr>
              <w:pStyle w:val="88"/>
              <w:spacing w:before="31" w:after="31"/>
              <w:rPr>
                <w:rFonts w:hint="default"/>
                <w:color w:val="000000"/>
              </w:rPr>
            </w:pPr>
          </w:p>
        </w:tc>
      </w:tr>
      <w:tr w14:paraId="2AF58302">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68D40399">
            <w:pPr>
              <w:pStyle w:val="88"/>
              <w:spacing w:before="31" w:after="31"/>
              <w:rPr>
                <w:rFonts w:hint="default"/>
                <w:color w:val="000000"/>
              </w:rPr>
            </w:pPr>
          </w:p>
        </w:tc>
        <w:tc>
          <w:tcPr>
            <w:tcW w:w="513" w:type="dxa"/>
            <w:noWrap/>
            <w:vAlign w:val="center"/>
          </w:tcPr>
          <w:p w14:paraId="398FB843">
            <w:pPr>
              <w:pStyle w:val="88"/>
              <w:numPr>
                <w:ilvl w:val="0"/>
                <w:numId w:val="9"/>
              </w:numPr>
              <w:tabs>
                <w:tab w:val="clear" w:pos="0"/>
              </w:tabs>
              <w:spacing w:before="31" w:after="31"/>
              <w:rPr>
                <w:rFonts w:hint="default"/>
                <w:color w:val="000000"/>
              </w:rPr>
            </w:pPr>
          </w:p>
        </w:tc>
        <w:tc>
          <w:tcPr>
            <w:tcW w:w="6041" w:type="dxa"/>
            <w:noWrap/>
            <w:vAlign w:val="center"/>
          </w:tcPr>
          <w:p w14:paraId="6B8DEC45">
            <w:pPr>
              <w:pStyle w:val="88"/>
              <w:spacing w:before="31" w:after="31"/>
              <w:rPr>
                <w:rFonts w:hint="default"/>
                <w:color w:val="000000"/>
              </w:rPr>
            </w:pPr>
            <w:r>
              <w:rPr>
                <w:rFonts w:hint="default"/>
                <w:color w:val="000000"/>
              </w:rPr>
              <w:t>臂根铰点高于50m时应设置风速仪</w:t>
            </w:r>
          </w:p>
        </w:tc>
        <w:tc>
          <w:tcPr>
            <w:tcW w:w="1229" w:type="dxa"/>
            <w:noWrap/>
            <w:vAlign w:val="center"/>
          </w:tcPr>
          <w:p w14:paraId="6C79EDAB">
            <w:pPr>
              <w:pStyle w:val="88"/>
              <w:spacing w:before="31" w:after="31"/>
              <w:rPr>
                <w:rFonts w:hint="default"/>
                <w:color w:val="000000"/>
              </w:rPr>
            </w:pPr>
          </w:p>
        </w:tc>
      </w:tr>
      <w:tr w14:paraId="6E25F696">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restart"/>
            <w:noWrap/>
            <w:vAlign w:val="center"/>
          </w:tcPr>
          <w:p w14:paraId="58695F8F">
            <w:pPr>
              <w:pStyle w:val="88"/>
              <w:spacing w:before="31" w:after="31"/>
              <w:rPr>
                <w:rFonts w:hint="default"/>
                <w:color w:val="000000"/>
              </w:rPr>
            </w:pPr>
            <w:r>
              <w:rPr>
                <w:rFonts w:hint="default"/>
                <w:color w:val="000000"/>
              </w:rPr>
              <w:t>司机室</w:t>
            </w:r>
          </w:p>
        </w:tc>
        <w:tc>
          <w:tcPr>
            <w:tcW w:w="513" w:type="dxa"/>
            <w:noWrap/>
            <w:vAlign w:val="center"/>
          </w:tcPr>
          <w:p w14:paraId="0302619D">
            <w:pPr>
              <w:pStyle w:val="88"/>
              <w:numPr>
                <w:ilvl w:val="0"/>
                <w:numId w:val="9"/>
              </w:numPr>
              <w:tabs>
                <w:tab w:val="clear" w:pos="0"/>
              </w:tabs>
              <w:spacing w:before="31" w:after="31"/>
              <w:rPr>
                <w:rFonts w:hint="default"/>
                <w:color w:val="000000"/>
              </w:rPr>
            </w:pPr>
          </w:p>
        </w:tc>
        <w:tc>
          <w:tcPr>
            <w:tcW w:w="6041" w:type="dxa"/>
            <w:noWrap/>
            <w:vAlign w:val="center"/>
          </w:tcPr>
          <w:p w14:paraId="08907D68">
            <w:pPr>
              <w:pStyle w:val="88"/>
              <w:spacing w:before="31" w:after="31"/>
              <w:rPr>
                <w:rFonts w:hint="default"/>
                <w:color w:val="000000"/>
              </w:rPr>
            </w:pPr>
            <w:r>
              <w:rPr>
                <w:rFonts w:hint="default"/>
                <w:color w:val="000000"/>
              </w:rPr>
              <w:t>性能标牌（显示屏）齐全，清晰</w:t>
            </w:r>
          </w:p>
        </w:tc>
        <w:tc>
          <w:tcPr>
            <w:tcW w:w="1229" w:type="dxa"/>
            <w:noWrap/>
            <w:vAlign w:val="center"/>
          </w:tcPr>
          <w:p w14:paraId="51BF48C0">
            <w:pPr>
              <w:pStyle w:val="88"/>
              <w:spacing w:before="31" w:after="31"/>
              <w:rPr>
                <w:rFonts w:hint="default"/>
                <w:color w:val="000000"/>
              </w:rPr>
            </w:pPr>
          </w:p>
        </w:tc>
      </w:tr>
      <w:tr w14:paraId="4D8B9B5D">
        <w:tblPrEx>
          <w:tblBorders>
            <w:top w:val="double" w:color="31849B" w:sz="4" w:space="0"/>
            <w:left w:val="double" w:color="31849B" w:sz="4" w:space="0"/>
            <w:bottom w:val="double" w:color="31849B" w:sz="4" w:space="0"/>
            <w:right w:val="double" w:color="31849B" w:sz="4" w:space="0"/>
            <w:insideH w:val="single" w:color="31849B" w:sz="4" w:space="0"/>
            <w:insideV w:val="single" w:color="31849B" w:sz="4" w:space="0"/>
          </w:tblBorders>
          <w:tblCellMar>
            <w:top w:w="0" w:type="dxa"/>
            <w:left w:w="108" w:type="dxa"/>
            <w:bottom w:w="0" w:type="dxa"/>
            <w:right w:w="108" w:type="dxa"/>
          </w:tblCellMar>
        </w:tblPrEx>
        <w:trPr>
          <w:trHeight w:val="454" w:hRule="atLeast"/>
          <w:jc w:val="center"/>
        </w:trPr>
        <w:tc>
          <w:tcPr>
            <w:tcW w:w="721" w:type="dxa"/>
            <w:vMerge w:val="continue"/>
            <w:noWrap/>
            <w:vAlign w:val="top"/>
          </w:tcPr>
          <w:p w14:paraId="0B77D7D6">
            <w:pPr>
              <w:pStyle w:val="88"/>
              <w:spacing w:before="31" w:after="31"/>
              <w:rPr>
                <w:rFonts w:hint="default"/>
                <w:color w:val="000000"/>
              </w:rPr>
            </w:pPr>
          </w:p>
        </w:tc>
        <w:tc>
          <w:tcPr>
            <w:tcW w:w="513" w:type="dxa"/>
            <w:noWrap/>
            <w:vAlign w:val="center"/>
          </w:tcPr>
          <w:p w14:paraId="1B0F9821">
            <w:pPr>
              <w:pStyle w:val="88"/>
              <w:numPr>
                <w:ilvl w:val="0"/>
                <w:numId w:val="9"/>
              </w:numPr>
              <w:tabs>
                <w:tab w:val="clear" w:pos="0"/>
              </w:tabs>
              <w:spacing w:before="31" w:after="31"/>
              <w:rPr>
                <w:rFonts w:hint="default"/>
                <w:color w:val="000000"/>
              </w:rPr>
            </w:pPr>
          </w:p>
        </w:tc>
        <w:tc>
          <w:tcPr>
            <w:tcW w:w="6041" w:type="dxa"/>
            <w:noWrap/>
            <w:vAlign w:val="center"/>
          </w:tcPr>
          <w:p w14:paraId="7AE11113">
            <w:pPr>
              <w:pStyle w:val="88"/>
              <w:spacing w:before="31" w:after="31"/>
              <w:rPr>
                <w:rFonts w:hint="default"/>
                <w:color w:val="000000"/>
              </w:rPr>
            </w:pPr>
            <w:r>
              <w:rPr>
                <w:rFonts w:hint="default"/>
                <w:color w:val="000000"/>
              </w:rPr>
              <w:t>门窗、绝缘地板及灭火器等附属设施齐全，有效</w:t>
            </w:r>
          </w:p>
        </w:tc>
        <w:tc>
          <w:tcPr>
            <w:tcW w:w="1229" w:type="dxa"/>
            <w:noWrap/>
            <w:vAlign w:val="center"/>
          </w:tcPr>
          <w:p w14:paraId="65A1043F">
            <w:pPr>
              <w:pStyle w:val="88"/>
              <w:spacing w:before="31" w:after="31"/>
              <w:rPr>
                <w:rFonts w:hint="default"/>
                <w:color w:val="000000"/>
              </w:rPr>
            </w:pPr>
          </w:p>
        </w:tc>
      </w:tr>
    </w:tbl>
    <w:p w14:paraId="753CD7F4">
      <w:pPr>
        <w:spacing w:line="360" w:lineRule="auto"/>
        <w:ind w:firstLine="480"/>
        <w:rPr>
          <w:color w:val="000000"/>
        </w:rPr>
      </w:pPr>
      <w:r>
        <w:rPr>
          <w:rFonts w:hint="eastAsia" w:ascii="宋体" w:hAnsi="宋体" w:eastAsia="宋体" w:cs="宋体"/>
          <w:color w:val="000000"/>
          <w:sz w:val="24"/>
          <w:szCs w:val="24"/>
        </w:rPr>
        <w:br w:type="page"/>
      </w:r>
    </w:p>
    <w:p w14:paraId="019A2297">
      <w:pPr>
        <w:pStyle w:val="2"/>
        <w:rPr>
          <w:rFonts w:ascii="仿宋" w:hAnsi="仿宋" w:eastAsia="仿宋"/>
          <w:color w:val="000000"/>
        </w:rPr>
      </w:pPr>
      <w:bookmarkStart w:id="110" w:name="_Toc2072"/>
      <w:bookmarkStart w:id="111" w:name="_Toc24981"/>
      <w:r>
        <w:rPr>
          <w:rFonts w:hint="eastAsia" w:ascii="仿宋" w:hAnsi="仿宋" w:eastAsia="仿宋"/>
          <w:color w:val="000000"/>
        </w:rPr>
        <w:t>安全及环保要求</w:t>
      </w:r>
      <w:bookmarkEnd w:id="110"/>
      <w:bookmarkEnd w:id="111"/>
    </w:p>
    <w:p w14:paraId="1F825918">
      <w:pPr>
        <w:pStyle w:val="3"/>
        <w:rPr>
          <w:color w:val="000000"/>
        </w:rPr>
      </w:pPr>
      <w:bookmarkStart w:id="112" w:name="_Toc5258"/>
      <w:r>
        <w:rPr>
          <w:rFonts w:hint="eastAsia"/>
          <w:color w:val="000000"/>
        </w:rPr>
        <w:t>安全要求</w:t>
      </w:r>
      <w:bookmarkEnd w:id="112"/>
    </w:p>
    <w:bookmarkEnd w:id="63"/>
    <w:p w14:paraId="11080262">
      <w:pPr>
        <w:spacing w:line="360" w:lineRule="auto"/>
        <w:rPr>
          <w:rFonts w:hint="eastAsia" w:eastAsia="仿宋"/>
          <w:bCs/>
          <w:color w:val="auto"/>
          <w:lang w:eastAsia="zh-CN"/>
        </w:rPr>
      </w:pPr>
      <w:r>
        <w:rPr>
          <w:rFonts w:hint="eastAsia"/>
          <w:bCs/>
          <w:color w:val="auto"/>
          <w:lang w:val="en-US" w:eastAsia="zh-CN"/>
        </w:rPr>
        <w:t>1、</w:t>
      </w:r>
      <w:r>
        <w:rPr>
          <w:rFonts w:hint="default"/>
          <w:bCs/>
          <w:color w:val="auto"/>
        </w:rPr>
        <w:t>所有作业人员须持有效的“建筑施工特种作业操作证”（塔吊安装拆卸工、起重信号工、司机等）</w:t>
      </w:r>
      <w:r>
        <w:rPr>
          <w:rFonts w:hint="eastAsia"/>
          <w:bCs/>
          <w:color w:val="auto"/>
          <w:lang w:eastAsia="zh-CN"/>
        </w:rPr>
        <w:t>。</w:t>
      </w:r>
      <w:r>
        <w:rPr>
          <w:rFonts w:hint="default"/>
          <w:bCs/>
          <w:color w:val="auto"/>
        </w:rPr>
        <w:t>高空作业人员不得患有高血压、心脏病、恐高症等禁忌病症</w:t>
      </w:r>
      <w:r>
        <w:rPr>
          <w:rFonts w:hint="eastAsia"/>
          <w:bCs/>
          <w:color w:val="auto"/>
          <w:lang w:eastAsia="zh-CN"/>
        </w:rPr>
        <w:t>；</w:t>
      </w:r>
    </w:p>
    <w:p w14:paraId="7A4D41FD">
      <w:pPr>
        <w:spacing w:line="360" w:lineRule="auto"/>
        <w:rPr>
          <w:rFonts w:hint="eastAsia" w:eastAsia="仿宋"/>
          <w:bCs/>
          <w:color w:val="auto"/>
          <w:lang w:eastAsia="zh-CN"/>
        </w:rPr>
      </w:pPr>
      <w:r>
        <w:rPr>
          <w:rFonts w:hint="eastAsia"/>
          <w:bCs/>
          <w:color w:val="auto"/>
          <w:lang w:val="en-US" w:eastAsia="zh-CN"/>
        </w:rPr>
        <w:t>2、</w:t>
      </w:r>
      <w:r>
        <w:rPr>
          <w:bCs/>
          <w:color w:val="auto"/>
        </w:rPr>
        <w:t>编制并审批专项施工方案</w:t>
      </w:r>
      <w:r>
        <w:rPr>
          <w:rFonts w:hint="default"/>
          <w:bCs/>
          <w:color w:val="auto"/>
        </w:rPr>
        <w:t>‌：由具备资质的单位编制，内容涵盖拆除顺序、吊点设置、辅助设备选型、安全措施及应急预案，经施工单位技术负责人审核、总监理工程师批准后</w:t>
      </w:r>
      <w:r>
        <w:rPr>
          <w:rFonts w:hint="eastAsia"/>
          <w:bCs/>
          <w:color w:val="auto"/>
          <w:lang w:val="en-US" w:eastAsia="zh-CN"/>
        </w:rPr>
        <w:t>方可施工</w:t>
      </w:r>
      <w:r>
        <w:rPr>
          <w:rFonts w:hint="eastAsia"/>
          <w:bCs/>
          <w:color w:val="auto"/>
          <w:lang w:eastAsia="zh-CN"/>
        </w:rPr>
        <w:t>；</w:t>
      </w:r>
    </w:p>
    <w:p w14:paraId="60289152">
      <w:pPr>
        <w:spacing w:line="360" w:lineRule="auto"/>
        <w:rPr>
          <w:rFonts w:hint="default"/>
          <w:bCs/>
          <w:color w:val="auto"/>
          <w:lang w:val="en-US" w:eastAsia="zh-CN"/>
        </w:rPr>
      </w:pPr>
      <w:r>
        <w:rPr>
          <w:rFonts w:hint="eastAsia"/>
          <w:bCs/>
          <w:color w:val="auto"/>
          <w:lang w:val="en-US" w:eastAsia="zh-CN"/>
        </w:rPr>
        <w:t>3、作业前，应对</w:t>
      </w:r>
      <w:r>
        <w:rPr>
          <w:rFonts w:hint="default"/>
          <w:bCs/>
          <w:color w:val="auto"/>
        </w:rPr>
        <w:t>塔吊构配件、液压系统、钢丝绳、连接螺栓等</w:t>
      </w:r>
      <w:r>
        <w:rPr>
          <w:rFonts w:hint="eastAsia"/>
          <w:bCs/>
          <w:color w:val="auto"/>
          <w:lang w:val="en-US" w:eastAsia="zh-CN"/>
        </w:rPr>
        <w:t>进行全面检查，检查合格后方可施工；</w:t>
      </w:r>
    </w:p>
    <w:p w14:paraId="58396604">
      <w:pPr>
        <w:spacing w:line="360" w:lineRule="auto"/>
        <w:rPr>
          <w:rFonts w:hint="eastAsia" w:eastAsia="仿宋"/>
          <w:bCs/>
          <w:color w:val="auto"/>
          <w:lang w:eastAsia="zh-CN"/>
        </w:rPr>
      </w:pPr>
      <w:r>
        <w:rPr>
          <w:rFonts w:hint="eastAsia"/>
          <w:bCs/>
          <w:color w:val="auto"/>
          <w:lang w:val="en-US" w:eastAsia="zh-CN"/>
        </w:rPr>
        <w:t>4、</w:t>
      </w:r>
      <w:r>
        <w:rPr>
          <w:rFonts w:hint="default"/>
          <w:bCs/>
          <w:color w:val="auto"/>
        </w:rPr>
        <w:t xml:space="preserve">清理作业区域障碍物，设置警戒区，悬挂“禁止入内”警示标志 </w:t>
      </w:r>
      <w:r>
        <w:rPr>
          <w:rFonts w:hint="eastAsia"/>
          <w:bCs/>
          <w:color w:val="auto"/>
          <w:lang w:eastAsia="zh-CN"/>
        </w:rPr>
        <w:t>；</w:t>
      </w:r>
    </w:p>
    <w:p w14:paraId="5B675095">
      <w:pPr>
        <w:spacing w:line="360" w:lineRule="auto"/>
        <w:rPr>
          <w:rFonts w:hint="eastAsia" w:eastAsia="仿宋"/>
          <w:bCs/>
          <w:color w:val="auto"/>
          <w:lang w:eastAsia="zh-CN"/>
        </w:rPr>
      </w:pPr>
      <w:r>
        <w:rPr>
          <w:rFonts w:hint="eastAsia"/>
          <w:bCs/>
          <w:color w:val="auto"/>
          <w:lang w:val="en-US" w:eastAsia="zh-CN"/>
        </w:rPr>
        <w:t>5、</w:t>
      </w:r>
      <w:r>
        <w:rPr>
          <w:rFonts w:hint="default"/>
          <w:bCs/>
          <w:color w:val="auto"/>
        </w:rPr>
        <w:t>所有参与人员须接受专项安全技术交底，明确操作流程、风险点及应急措施，并签字确认</w:t>
      </w:r>
      <w:r>
        <w:rPr>
          <w:rFonts w:hint="eastAsia"/>
          <w:bCs/>
          <w:color w:val="auto"/>
          <w:lang w:eastAsia="zh-CN"/>
        </w:rPr>
        <w:t>。</w:t>
      </w:r>
    </w:p>
    <w:p w14:paraId="6922B7D7">
      <w:pPr>
        <w:pStyle w:val="3"/>
        <w:rPr>
          <w:color w:val="000000"/>
        </w:rPr>
      </w:pPr>
      <w:bookmarkStart w:id="113" w:name="_Toc6460"/>
      <w:r>
        <w:rPr>
          <w:rFonts w:hint="eastAsia"/>
          <w:color w:val="000000"/>
        </w:rPr>
        <w:t>环保要求</w:t>
      </w:r>
      <w:bookmarkEnd w:id="113"/>
    </w:p>
    <w:p w14:paraId="435D80DA">
      <w:pPr>
        <w:jc w:val="left"/>
        <w:rPr>
          <w:color w:val="000000"/>
        </w:rPr>
      </w:pPr>
      <w:r>
        <w:rPr>
          <w:rFonts w:hint="eastAsia"/>
          <w:color w:val="000000"/>
        </w:rPr>
        <w:t>10.2.1严格遵守国家和地方有关环保方面的法律、法规和有关环保的规定，落实环保责任制。</w:t>
      </w:r>
    </w:p>
    <w:p w14:paraId="6333D03F">
      <w:pPr>
        <w:rPr>
          <w:color w:val="000000"/>
        </w:rPr>
      </w:pPr>
      <w:r>
        <w:rPr>
          <w:rFonts w:hint="eastAsia"/>
          <w:color w:val="000000"/>
        </w:rPr>
        <w:t>10.2.2编制环境保护方案，包括施工现场排水、围挡和保洁措施等。</w:t>
      </w:r>
    </w:p>
    <w:p w14:paraId="41846002">
      <w:pPr>
        <w:rPr>
          <w:color w:val="000000"/>
        </w:rPr>
      </w:pPr>
      <w:r>
        <w:rPr>
          <w:rFonts w:hint="eastAsia"/>
          <w:color w:val="000000"/>
        </w:rPr>
        <w:t>10.2.3合理布置施工和生活区域，减少施工噪声对附近群众工作和生活的影响。</w:t>
      </w:r>
    </w:p>
    <w:p w14:paraId="03E23FEC">
      <w:pPr>
        <w:rPr>
          <w:color w:val="000000"/>
        </w:rPr>
      </w:pPr>
      <w:r>
        <w:rPr>
          <w:rFonts w:hint="eastAsia"/>
          <w:color w:val="000000"/>
        </w:rPr>
        <w:t>10.2.4施工便道及施工区域内的道路经常洒水，防止尘埃飞扬污染周围环境。</w:t>
      </w:r>
    </w:p>
    <w:p w14:paraId="7DAB0CF6">
      <w:pPr>
        <w:rPr>
          <w:color w:val="000000"/>
        </w:rPr>
      </w:pPr>
      <w:r>
        <w:rPr>
          <w:rFonts w:hint="eastAsia"/>
          <w:color w:val="000000"/>
        </w:rPr>
        <w:t>10.2.5进入施工现场的机械车辆少鸣笛、不带故障运行，减少噪声。</w:t>
      </w:r>
    </w:p>
    <w:p w14:paraId="1714DFFF">
      <w:pPr>
        <w:rPr>
          <w:color w:val="000000"/>
        </w:rPr>
      </w:pPr>
      <w:r>
        <w:rPr>
          <w:rFonts w:hint="eastAsia"/>
          <w:color w:val="000000"/>
        </w:rPr>
        <w:t>10.2.6加强机械设备的维修保养，保证机械设备的完好率，确保施工噪声达到环境保护标准要求。</w:t>
      </w:r>
    </w:p>
    <w:p w14:paraId="5065286E">
      <w:pPr>
        <w:rPr>
          <w:color w:val="000000"/>
        </w:rPr>
      </w:pPr>
      <w:r>
        <w:rPr>
          <w:rFonts w:hint="eastAsia"/>
          <w:color w:val="000000"/>
        </w:rPr>
        <w:t>10.2.7工程完工后，临时租用的土地及时恢复到原地貌。</w:t>
      </w:r>
    </w:p>
    <w:p w14:paraId="5A5F2622">
      <w:pPr>
        <w:rPr>
          <w:color w:val="000000"/>
        </w:rPr>
      </w:pPr>
      <w:r>
        <w:rPr>
          <w:rFonts w:hint="eastAsia"/>
          <w:color w:val="000000"/>
        </w:rPr>
        <w:t>10.2.8学习环保知识，宣传环保知识，提高全体员工的环保素质。</w:t>
      </w:r>
    </w:p>
    <w:p w14:paraId="092975A7">
      <w:pPr>
        <w:rPr>
          <w:color w:val="000000"/>
        </w:rPr>
      </w:pPr>
      <w:r>
        <w:rPr>
          <w:rFonts w:hint="eastAsia"/>
          <w:color w:val="000000"/>
        </w:rPr>
        <w:t>10.2.9施工现场及生活区内的废料、垃圾等及时清理，运至指定地点处理。不用的料具和机械及时清理出场，保持场内洁净。</w:t>
      </w:r>
    </w:p>
    <w:p w14:paraId="3A0CB066">
      <w:pPr>
        <w:rPr>
          <w:color w:val="000000"/>
        </w:rPr>
      </w:pPr>
      <w:r>
        <w:rPr>
          <w:rFonts w:hint="eastAsia"/>
          <w:color w:val="000000"/>
        </w:rPr>
        <w:t>10.2.10施工现场内存放的油料及其他对环境存在污染危险的物质时，仓库要进行防渗处理，防止跑、冒、滴、漏，造成污染水体、空气等事故。</w:t>
      </w:r>
    </w:p>
    <w:p w14:paraId="56640B8D">
      <w:pPr>
        <w:rPr>
          <w:color w:val="000000"/>
        </w:rPr>
      </w:pPr>
      <w:r>
        <w:rPr>
          <w:rFonts w:hint="eastAsia"/>
          <w:color w:val="000000"/>
        </w:rPr>
        <w:t>10.2.12按规定对机械设备进行保养，尽量使机械噪声维持在最低水平，以减少噪声。</w:t>
      </w:r>
    </w:p>
    <w:p w14:paraId="0AEB1470">
      <w:pPr>
        <w:pStyle w:val="2"/>
        <w:rPr>
          <w:rFonts w:ascii="仿宋" w:hAnsi="仿宋" w:eastAsia="仿宋"/>
          <w:color w:val="000000"/>
        </w:rPr>
      </w:pPr>
      <w:bookmarkStart w:id="114" w:name="_Toc19941"/>
      <w:r>
        <w:rPr>
          <w:rFonts w:hint="eastAsia" w:ascii="仿宋" w:hAnsi="仿宋" w:eastAsia="仿宋"/>
          <w:color w:val="000000"/>
        </w:rPr>
        <w:t>风险源辨识及应急处置措施</w:t>
      </w:r>
      <w:bookmarkEnd w:id="114"/>
    </w:p>
    <w:p w14:paraId="634F8326">
      <w:pPr>
        <w:rPr>
          <w:rFonts w:hint="eastAsia" w:ascii="仿宋" w:hAnsi="仿宋" w:eastAsia="仿宋" w:cs="仿宋"/>
          <w:color w:val="000000"/>
        </w:rPr>
      </w:pPr>
      <w:r>
        <w:rPr>
          <w:rFonts w:hint="eastAsia" w:ascii="仿宋" w:hAnsi="仿宋" w:eastAsia="仿宋" w:cs="仿宋"/>
          <w:color w:val="000000"/>
        </w:rPr>
        <w:t>11.1 塔式起重机拆除作业活动危险辨识与危险评价如下表所示。</w:t>
      </w:r>
    </w:p>
    <w:p w14:paraId="44B1F1A7">
      <w:pPr>
        <w:pStyle w:val="127"/>
        <w:rPr>
          <w:rFonts w:hint="eastAsia" w:ascii="仿宋" w:hAnsi="仿宋" w:eastAsia="仿宋" w:cs="仿宋"/>
          <w:color w:val="000000"/>
        </w:rPr>
      </w:pPr>
      <w:r>
        <w:rPr>
          <w:rFonts w:hint="eastAsia" w:ascii="仿宋" w:hAnsi="仿宋" w:eastAsia="仿宋" w:cs="仿宋"/>
          <w:color w:val="000000"/>
        </w:rPr>
        <w:t>塔式起重机拆除作业活动风险源辨识与危险评价表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
        <w:gridCol w:w="1810"/>
        <w:gridCol w:w="1810"/>
        <w:gridCol w:w="293"/>
        <w:gridCol w:w="308"/>
        <w:gridCol w:w="450"/>
        <w:gridCol w:w="600"/>
        <w:gridCol w:w="731"/>
        <w:gridCol w:w="3154"/>
      </w:tblGrid>
      <w:tr w14:paraId="6E80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blHeader/>
          <w:jc w:val="center"/>
        </w:trPr>
        <w:tc>
          <w:tcPr>
            <w:tcW w:w="216" w:type="pct"/>
            <w:vMerge w:val="restart"/>
            <w:noWrap/>
            <w:vAlign w:val="center"/>
          </w:tcPr>
          <w:p w14:paraId="127EF54E">
            <w:pPr>
              <w:pStyle w:val="11"/>
              <w:spacing w:after="0" w:line="240" w:lineRule="auto"/>
              <w:ind w:firstLine="0" w:firstLineChars="0"/>
              <w:jc w:val="center"/>
              <w:rPr>
                <w:color w:val="000000"/>
                <w:sz w:val="21"/>
                <w:szCs w:val="21"/>
              </w:rPr>
            </w:pPr>
            <w:r>
              <w:rPr>
                <w:rFonts w:hint="eastAsia"/>
                <w:color w:val="000000"/>
                <w:sz w:val="21"/>
                <w:szCs w:val="21"/>
              </w:rPr>
              <w:t>序号</w:t>
            </w:r>
          </w:p>
        </w:tc>
        <w:tc>
          <w:tcPr>
            <w:tcW w:w="945" w:type="pct"/>
            <w:vMerge w:val="restart"/>
            <w:noWrap/>
            <w:vAlign w:val="center"/>
          </w:tcPr>
          <w:p w14:paraId="69D93314">
            <w:pPr>
              <w:pStyle w:val="11"/>
              <w:spacing w:after="0" w:line="240" w:lineRule="auto"/>
              <w:ind w:firstLine="0" w:firstLineChars="0"/>
              <w:jc w:val="center"/>
              <w:rPr>
                <w:color w:val="000000"/>
                <w:sz w:val="21"/>
                <w:szCs w:val="21"/>
              </w:rPr>
            </w:pPr>
            <w:r>
              <w:rPr>
                <w:rFonts w:hint="eastAsia"/>
                <w:color w:val="000000"/>
                <w:sz w:val="21"/>
                <w:szCs w:val="21"/>
              </w:rPr>
              <w:t>人员和作业过程</w:t>
            </w:r>
          </w:p>
        </w:tc>
        <w:tc>
          <w:tcPr>
            <w:tcW w:w="945" w:type="pct"/>
            <w:vMerge w:val="restart"/>
            <w:noWrap/>
            <w:vAlign w:val="center"/>
          </w:tcPr>
          <w:p w14:paraId="24C000EE">
            <w:pPr>
              <w:pStyle w:val="11"/>
              <w:spacing w:after="0" w:line="240" w:lineRule="auto"/>
              <w:ind w:firstLine="0" w:firstLineChars="0"/>
              <w:jc w:val="center"/>
              <w:rPr>
                <w:color w:val="000000"/>
                <w:sz w:val="21"/>
                <w:szCs w:val="21"/>
              </w:rPr>
            </w:pPr>
            <w:r>
              <w:rPr>
                <w:rFonts w:hint="eastAsia"/>
                <w:color w:val="000000"/>
                <w:sz w:val="21"/>
                <w:szCs w:val="21"/>
              </w:rPr>
              <w:t>可能发生的危险</w:t>
            </w:r>
          </w:p>
        </w:tc>
        <w:tc>
          <w:tcPr>
            <w:tcW w:w="862" w:type="pct"/>
            <w:gridSpan w:val="4"/>
            <w:noWrap/>
            <w:vAlign w:val="top"/>
          </w:tcPr>
          <w:p w14:paraId="619F1C8D">
            <w:pPr>
              <w:pStyle w:val="11"/>
              <w:spacing w:after="0" w:line="240" w:lineRule="auto"/>
              <w:ind w:firstLine="0" w:firstLineChars="0"/>
              <w:jc w:val="center"/>
              <w:rPr>
                <w:color w:val="000000"/>
                <w:sz w:val="21"/>
                <w:szCs w:val="21"/>
              </w:rPr>
            </w:pPr>
            <w:r>
              <w:rPr>
                <w:rFonts w:hint="eastAsia"/>
                <w:color w:val="000000"/>
                <w:sz w:val="21"/>
                <w:szCs w:val="21"/>
              </w:rPr>
              <w:t>危险评价</w:t>
            </w:r>
          </w:p>
        </w:tc>
        <w:tc>
          <w:tcPr>
            <w:tcW w:w="381" w:type="pct"/>
            <w:vMerge w:val="restart"/>
            <w:noWrap/>
            <w:vAlign w:val="center"/>
          </w:tcPr>
          <w:p w14:paraId="2041E089">
            <w:pPr>
              <w:pStyle w:val="11"/>
              <w:spacing w:after="0" w:line="240" w:lineRule="auto"/>
              <w:ind w:firstLine="0" w:firstLineChars="0"/>
              <w:jc w:val="center"/>
              <w:rPr>
                <w:color w:val="000000"/>
                <w:sz w:val="21"/>
                <w:szCs w:val="21"/>
              </w:rPr>
            </w:pPr>
            <w:r>
              <w:rPr>
                <w:rFonts w:hint="eastAsia"/>
                <w:color w:val="000000"/>
                <w:sz w:val="21"/>
                <w:szCs w:val="21"/>
              </w:rPr>
              <w:t>风险</w:t>
            </w:r>
          </w:p>
          <w:p w14:paraId="4E7A8916">
            <w:pPr>
              <w:pStyle w:val="11"/>
              <w:spacing w:after="0" w:line="240" w:lineRule="auto"/>
              <w:ind w:firstLine="0" w:firstLineChars="0"/>
              <w:jc w:val="center"/>
              <w:rPr>
                <w:color w:val="000000"/>
                <w:sz w:val="21"/>
                <w:szCs w:val="21"/>
              </w:rPr>
            </w:pPr>
            <w:r>
              <w:rPr>
                <w:rFonts w:hint="eastAsia"/>
                <w:color w:val="000000"/>
                <w:sz w:val="21"/>
                <w:szCs w:val="21"/>
              </w:rPr>
              <w:t>等级</w:t>
            </w:r>
          </w:p>
        </w:tc>
        <w:tc>
          <w:tcPr>
            <w:tcW w:w="1647" w:type="pct"/>
            <w:vMerge w:val="restart"/>
            <w:noWrap/>
            <w:vAlign w:val="center"/>
          </w:tcPr>
          <w:p w14:paraId="2FFDEB95">
            <w:pPr>
              <w:pStyle w:val="11"/>
              <w:spacing w:after="0" w:line="240" w:lineRule="auto"/>
              <w:ind w:firstLine="0" w:firstLineChars="0"/>
              <w:jc w:val="center"/>
              <w:rPr>
                <w:color w:val="000000"/>
                <w:sz w:val="21"/>
                <w:szCs w:val="21"/>
              </w:rPr>
            </w:pPr>
            <w:r>
              <w:rPr>
                <w:rFonts w:hint="eastAsia"/>
                <w:color w:val="000000"/>
                <w:sz w:val="21"/>
                <w:szCs w:val="21"/>
              </w:rPr>
              <w:t>控制措施</w:t>
            </w:r>
          </w:p>
        </w:tc>
      </w:tr>
      <w:tr w14:paraId="59D3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blHeader/>
          <w:jc w:val="center"/>
        </w:trPr>
        <w:tc>
          <w:tcPr>
            <w:tcW w:w="216" w:type="pct"/>
            <w:vMerge w:val="continue"/>
            <w:noWrap/>
            <w:vAlign w:val="top"/>
          </w:tcPr>
          <w:p w14:paraId="5F3334F9">
            <w:pPr>
              <w:pStyle w:val="11"/>
              <w:spacing w:after="0" w:line="240" w:lineRule="auto"/>
              <w:ind w:firstLine="0" w:firstLineChars="0"/>
              <w:jc w:val="center"/>
              <w:rPr>
                <w:color w:val="000000"/>
                <w:sz w:val="21"/>
                <w:szCs w:val="21"/>
              </w:rPr>
            </w:pPr>
          </w:p>
        </w:tc>
        <w:tc>
          <w:tcPr>
            <w:tcW w:w="945" w:type="pct"/>
            <w:vMerge w:val="continue"/>
            <w:noWrap/>
            <w:vAlign w:val="top"/>
          </w:tcPr>
          <w:p w14:paraId="26ACE479">
            <w:pPr>
              <w:pStyle w:val="11"/>
              <w:spacing w:after="0" w:line="240" w:lineRule="auto"/>
              <w:ind w:firstLine="0" w:firstLineChars="0"/>
              <w:jc w:val="center"/>
              <w:rPr>
                <w:color w:val="000000"/>
                <w:sz w:val="21"/>
                <w:szCs w:val="21"/>
              </w:rPr>
            </w:pPr>
          </w:p>
        </w:tc>
        <w:tc>
          <w:tcPr>
            <w:tcW w:w="945" w:type="pct"/>
            <w:vMerge w:val="continue"/>
            <w:noWrap/>
            <w:vAlign w:val="top"/>
          </w:tcPr>
          <w:p w14:paraId="7C4E325B">
            <w:pPr>
              <w:pStyle w:val="11"/>
              <w:spacing w:after="0" w:line="240" w:lineRule="auto"/>
              <w:ind w:firstLine="0" w:firstLineChars="0"/>
              <w:jc w:val="center"/>
              <w:rPr>
                <w:color w:val="000000"/>
                <w:sz w:val="21"/>
                <w:szCs w:val="21"/>
              </w:rPr>
            </w:pPr>
          </w:p>
        </w:tc>
        <w:tc>
          <w:tcPr>
            <w:tcW w:w="153" w:type="pct"/>
            <w:noWrap/>
            <w:vAlign w:val="top"/>
          </w:tcPr>
          <w:p w14:paraId="1D68B69C">
            <w:pPr>
              <w:pStyle w:val="11"/>
              <w:spacing w:after="0" w:line="240" w:lineRule="auto"/>
              <w:ind w:firstLine="0" w:firstLineChars="0"/>
              <w:jc w:val="center"/>
              <w:rPr>
                <w:color w:val="000000"/>
                <w:sz w:val="21"/>
                <w:szCs w:val="21"/>
              </w:rPr>
            </w:pPr>
            <w:r>
              <w:rPr>
                <w:rFonts w:hint="eastAsia"/>
                <w:color w:val="000000"/>
                <w:sz w:val="21"/>
                <w:szCs w:val="21"/>
              </w:rPr>
              <w:t>L</w:t>
            </w:r>
          </w:p>
        </w:tc>
        <w:tc>
          <w:tcPr>
            <w:tcW w:w="160" w:type="pct"/>
            <w:noWrap/>
            <w:vAlign w:val="top"/>
          </w:tcPr>
          <w:p w14:paraId="3F076AF5">
            <w:pPr>
              <w:pStyle w:val="11"/>
              <w:spacing w:after="0" w:line="240" w:lineRule="auto"/>
              <w:ind w:firstLine="0" w:firstLineChars="0"/>
              <w:jc w:val="center"/>
              <w:rPr>
                <w:color w:val="000000"/>
                <w:sz w:val="21"/>
                <w:szCs w:val="21"/>
              </w:rPr>
            </w:pPr>
            <w:r>
              <w:rPr>
                <w:rFonts w:hint="eastAsia"/>
                <w:color w:val="000000"/>
                <w:sz w:val="21"/>
                <w:szCs w:val="21"/>
              </w:rPr>
              <w:t>E</w:t>
            </w:r>
          </w:p>
        </w:tc>
        <w:tc>
          <w:tcPr>
            <w:tcW w:w="235" w:type="pct"/>
            <w:noWrap/>
            <w:vAlign w:val="top"/>
          </w:tcPr>
          <w:p w14:paraId="66C46748">
            <w:pPr>
              <w:pStyle w:val="11"/>
              <w:spacing w:after="0" w:line="240" w:lineRule="auto"/>
              <w:ind w:firstLine="0" w:firstLineChars="0"/>
              <w:jc w:val="center"/>
              <w:rPr>
                <w:color w:val="000000"/>
                <w:sz w:val="21"/>
                <w:szCs w:val="21"/>
              </w:rPr>
            </w:pPr>
            <w:r>
              <w:rPr>
                <w:rFonts w:hint="eastAsia"/>
                <w:color w:val="000000"/>
                <w:sz w:val="21"/>
                <w:szCs w:val="21"/>
              </w:rPr>
              <w:t>C</w:t>
            </w:r>
          </w:p>
        </w:tc>
        <w:tc>
          <w:tcPr>
            <w:tcW w:w="313" w:type="pct"/>
            <w:noWrap/>
            <w:vAlign w:val="top"/>
          </w:tcPr>
          <w:p w14:paraId="6E6E32EA">
            <w:pPr>
              <w:pStyle w:val="11"/>
              <w:spacing w:after="0" w:line="240" w:lineRule="auto"/>
              <w:ind w:firstLine="0" w:firstLineChars="0"/>
              <w:jc w:val="center"/>
              <w:rPr>
                <w:color w:val="000000"/>
                <w:sz w:val="21"/>
                <w:szCs w:val="21"/>
              </w:rPr>
            </w:pPr>
            <w:r>
              <w:rPr>
                <w:rFonts w:hint="eastAsia"/>
                <w:color w:val="000000"/>
                <w:sz w:val="21"/>
                <w:szCs w:val="21"/>
              </w:rPr>
              <w:t>D</w:t>
            </w:r>
          </w:p>
        </w:tc>
        <w:tc>
          <w:tcPr>
            <w:tcW w:w="381" w:type="pct"/>
            <w:vMerge w:val="continue"/>
            <w:noWrap/>
            <w:vAlign w:val="top"/>
          </w:tcPr>
          <w:p w14:paraId="052810BA">
            <w:pPr>
              <w:pStyle w:val="11"/>
              <w:spacing w:after="0" w:line="240" w:lineRule="auto"/>
              <w:ind w:firstLine="0" w:firstLineChars="0"/>
              <w:jc w:val="center"/>
              <w:rPr>
                <w:color w:val="000000"/>
                <w:sz w:val="21"/>
                <w:szCs w:val="21"/>
              </w:rPr>
            </w:pPr>
          </w:p>
        </w:tc>
        <w:tc>
          <w:tcPr>
            <w:tcW w:w="1647" w:type="pct"/>
            <w:vMerge w:val="continue"/>
            <w:noWrap/>
            <w:vAlign w:val="top"/>
          </w:tcPr>
          <w:p w14:paraId="429581C8">
            <w:pPr>
              <w:pStyle w:val="11"/>
              <w:spacing w:after="0" w:line="240" w:lineRule="auto"/>
              <w:ind w:firstLine="0" w:firstLineChars="0"/>
              <w:jc w:val="center"/>
              <w:rPr>
                <w:color w:val="000000"/>
                <w:sz w:val="21"/>
                <w:szCs w:val="21"/>
              </w:rPr>
            </w:pPr>
          </w:p>
        </w:tc>
      </w:tr>
      <w:tr w14:paraId="0DA85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1" w:hRule="atLeast"/>
          <w:jc w:val="center"/>
        </w:trPr>
        <w:tc>
          <w:tcPr>
            <w:tcW w:w="216" w:type="pct"/>
            <w:noWrap/>
            <w:vAlign w:val="center"/>
          </w:tcPr>
          <w:p w14:paraId="7492AD52">
            <w:pPr>
              <w:pStyle w:val="11"/>
              <w:spacing w:after="0" w:line="240" w:lineRule="auto"/>
              <w:ind w:firstLine="0" w:firstLineChars="0"/>
              <w:jc w:val="center"/>
              <w:rPr>
                <w:color w:val="000000"/>
                <w:sz w:val="21"/>
                <w:szCs w:val="21"/>
              </w:rPr>
            </w:pPr>
            <w:r>
              <w:rPr>
                <w:rFonts w:hint="eastAsia"/>
                <w:color w:val="000000"/>
                <w:sz w:val="21"/>
                <w:szCs w:val="21"/>
              </w:rPr>
              <w:t>1</w:t>
            </w:r>
          </w:p>
        </w:tc>
        <w:tc>
          <w:tcPr>
            <w:tcW w:w="945" w:type="pct"/>
            <w:noWrap/>
            <w:vAlign w:val="center"/>
          </w:tcPr>
          <w:p w14:paraId="313A40DE">
            <w:pPr>
              <w:pStyle w:val="11"/>
              <w:spacing w:after="0" w:line="240" w:lineRule="auto"/>
              <w:ind w:firstLine="0" w:firstLineChars="0"/>
              <w:jc w:val="center"/>
              <w:rPr>
                <w:color w:val="000000"/>
                <w:sz w:val="21"/>
                <w:szCs w:val="21"/>
              </w:rPr>
            </w:pPr>
            <w:r>
              <w:rPr>
                <w:rFonts w:hint="eastAsia"/>
                <w:color w:val="000000"/>
                <w:sz w:val="21"/>
                <w:szCs w:val="21"/>
              </w:rPr>
              <w:t>高空作业人员酒后、病后上岗作业</w:t>
            </w:r>
          </w:p>
        </w:tc>
        <w:tc>
          <w:tcPr>
            <w:tcW w:w="945" w:type="pct"/>
            <w:noWrap/>
            <w:vAlign w:val="center"/>
          </w:tcPr>
          <w:p w14:paraId="26EA8D4A">
            <w:pPr>
              <w:pStyle w:val="11"/>
              <w:spacing w:after="0" w:line="240" w:lineRule="auto"/>
              <w:ind w:firstLine="0" w:firstLineChars="0"/>
              <w:jc w:val="center"/>
              <w:rPr>
                <w:color w:val="000000"/>
                <w:sz w:val="21"/>
                <w:szCs w:val="21"/>
              </w:rPr>
            </w:pPr>
            <w:r>
              <w:rPr>
                <w:rFonts w:hint="eastAsia"/>
                <w:color w:val="000000"/>
                <w:sz w:val="21"/>
                <w:szCs w:val="21"/>
              </w:rPr>
              <w:t>高空坠落、物体打击</w:t>
            </w:r>
          </w:p>
        </w:tc>
        <w:tc>
          <w:tcPr>
            <w:tcW w:w="153" w:type="pct"/>
            <w:noWrap/>
            <w:vAlign w:val="center"/>
          </w:tcPr>
          <w:p w14:paraId="7536254C">
            <w:pPr>
              <w:pStyle w:val="11"/>
              <w:spacing w:after="0" w:line="240" w:lineRule="auto"/>
              <w:ind w:firstLine="0" w:firstLineChars="0"/>
              <w:jc w:val="center"/>
              <w:rPr>
                <w:color w:val="000000"/>
                <w:sz w:val="21"/>
                <w:szCs w:val="21"/>
              </w:rPr>
            </w:pPr>
            <w:r>
              <w:rPr>
                <w:rFonts w:hint="eastAsia"/>
                <w:color w:val="000000"/>
                <w:sz w:val="21"/>
                <w:szCs w:val="21"/>
              </w:rPr>
              <w:t>6</w:t>
            </w:r>
          </w:p>
        </w:tc>
        <w:tc>
          <w:tcPr>
            <w:tcW w:w="160" w:type="pct"/>
            <w:noWrap/>
            <w:vAlign w:val="center"/>
          </w:tcPr>
          <w:p w14:paraId="59920181">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282A2FC6">
            <w:pPr>
              <w:pStyle w:val="11"/>
              <w:spacing w:after="0" w:line="240" w:lineRule="auto"/>
              <w:ind w:firstLine="0" w:firstLineChars="0"/>
              <w:jc w:val="center"/>
              <w:rPr>
                <w:color w:val="000000"/>
                <w:sz w:val="21"/>
                <w:szCs w:val="21"/>
              </w:rPr>
            </w:pPr>
            <w:r>
              <w:rPr>
                <w:rFonts w:hint="eastAsia"/>
                <w:color w:val="000000"/>
                <w:sz w:val="21"/>
                <w:szCs w:val="21"/>
              </w:rPr>
              <w:t>15</w:t>
            </w:r>
          </w:p>
        </w:tc>
        <w:tc>
          <w:tcPr>
            <w:tcW w:w="313" w:type="pct"/>
            <w:noWrap/>
            <w:vAlign w:val="center"/>
          </w:tcPr>
          <w:p w14:paraId="23513B08">
            <w:pPr>
              <w:pStyle w:val="11"/>
              <w:spacing w:after="0" w:line="240" w:lineRule="auto"/>
              <w:ind w:firstLine="0" w:firstLineChars="0"/>
              <w:jc w:val="center"/>
              <w:rPr>
                <w:color w:val="000000"/>
                <w:sz w:val="21"/>
                <w:szCs w:val="21"/>
              </w:rPr>
            </w:pPr>
            <w:r>
              <w:rPr>
                <w:rFonts w:hint="eastAsia"/>
                <w:color w:val="000000"/>
                <w:sz w:val="21"/>
                <w:szCs w:val="21"/>
              </w:rPr>
              <w:t>270</w:t>
            </w:r>
          </w:p>
        </w:tc>
        <w:tc>
          <w:tcPr>
            <w:tcW w:w="381" w:type="pct"/>
            <w:noWrap/>
            <w:vAlign w:val="center"/>
          </w:tcPr>
          <w:p w14:paraId="37872182">
            <w:pPr>
              <w:pStyle w:val="11"/>
              <w:spacing w:after="0" w:line="240" w:lineRule="auto"/>
              <w:ind w:firstLine="0" w:firstLineChars="0"/>
              <w:jc w:val="center"/>
              <w:rPr>
                <w:rFonts w:eastAsia="宋体"/>
                <w:color w:val="000000"/>
                <w:sz w:val="21"/>
                <w:szCs w:val="21"/>
              </w:rPr>
            </w:pPr>
            <w:r>
              <w:rPr>
                <w:rFonts w:hint="eastAsia" w:eastAsia="宋体"/>
                <w:color w:val="000000"/>
                <w:sz w:val="21"/>
                <w:szCs w:val="21"/>
              </w:rPr>
              <w:t>Ⅱ</w:t>
            </w:r>
          </w:p>
        </w:tc>
        <w:tc>
          <w:tcPr>
            <w:tcW w:w="1647" w:type="pct"/>
            <w:noWrap/>
            <w:vAlign w:val="center"/>
          </w:tcPr>
          <w:p w14:paraId="480893F5">
            <w:pPr>
              <w:pStyle w:val="11"/>
              <w:spacing w:after="0" w:line="240" w:lineRule="auto"/>
              <w:ind w:firstLine="0" w:firstLineChars="0"/>
              <w:jc w:val="center"/>
              <w:rPr>
                <w:color w:val="000000"/>
                <w:sz w:val="21"/>
                <w:szCs w:val="21"/>
              </w:rPr>
            </w:pPr>
            <w:r>
              <w:rPr>
                <w:rFonts w:hint="eastAsia"/>
                <w:color w:val="000000"/>
                <w:sz w:val="21"/>
                <w:szCs w:val="21"/>
              </w:rPr>
              <w:t>严禁酒后及病后初愈上岗作业</w:t>
            </w:r>
          </w:p>
        </w:tc>
      </w:tr>
      <w:tr w14:paraId="0176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216" w:type="pct"/>
            <w:noWrap/>
            <w:vAlign w:val="center"/>
          </w:tcPr>
          <w:p w14:paraId="24855CDC">
            <w:pPr>
              <w:pStyle w:val="11"/>
              <w:spacing w:after="0" w:line="240" w:lineRule="auto"/>
              <w:ind w:firstLine="0" w:firstLineChars="0"/>
              <w:jc w:val="center"/>
              <w:rPr>
                <w:color w:val="000000"/>
                <w:sz w:val="21"/>
                <w:szCs w:val="21"/>
              </w:rPr>
            </w:pPr>
            <w:r>
              <w:rPr>
                <w:rFonts w:hint="eastAsia"/>
                <w:color w:val="000000"/>
                <w:sz w:val="21"/>
                <w:szCs w:val="21"/>
              </w:rPr>
              <w:t>1</w:t>
            </w:r>
          </w:p>
        </w:tc>
        <w:tc>
          <w:tcPr>
            <w:tcW w:w="945" w:type="pct"/>
            <w:noWrap/>
            <w:vAlign w:val="center"/>
          </w:tcPr>
          <w:p w14:paraId="6EB7873F">
            <w:pPr>
              <w:pStyle w:val="11"/>
              <w:spacing w:after="0" w:line="240" w:lineRule="auto"/>
              <w:ind w:firstLine="0" w:firstLineChars="0"/>
              <w:jc w:val="center"/>
              <w:rPr>
                <w:color w:val="000000"/>
                <w:sz w:val="21"/>
                <w:szCs w:val="21"/>
              </w:rPr>
            </w:pPr>
            <w:r>
              <w:rPr>
                <w:rFonts w:hint="eastAsia"/>
                <w:color w:val="000000"/>
                <w:sz w:val="21"/>
                <w:szCs w:val="21"/>
              </w:rPr>
              <w:t>作业人员未佩戴安全防护用品</w:t>
            </w:r>
          </w:p>
        </w:tc>
        <w:tc>
          <w:tcPr>
            <w:tcW w:w="945" w:type="pct"/>
            <w:noWrap/>
            <w:vAlign w:val="center"/>
          </w:tcPr>
          <w:p w14:paraId="26FE6395">
            <w:pPr>
              <w:pStyle w:val="11"/>
              <w:spacing w:after="0" w:line="240" w:lineRule="auto"/>
              <w:ind w:firstLine="0" w:firstLineChars="0"/>
              <w:jc w:val="center"/>
              <w:rPr>
                <w:color w:val="000000"/>
                <w:sz w:val="21"/>
                <w:szCs w:val="21"/>
              </w:rPr>
            </w:pPr>
            <w:r>
              <w:rPr>
                <w:rFonts w:hint="eastAsia"/>
                <w:color w:val="000000"/>
                <w:sz w:val="21"/>
                <w:szCs w:val="21"/>
              </w:rPr>
              <w:t>高空坠落、物体打击</w:t>
            </w:r>
          </w:p>
        </w:tc>
        <w:tc>
          <w:tcPr>
            <w:tcW w:w="153" w:type="pct"/>
            <w:noWrap/>
            <w:vAlign w:val="center"/>
          </w:tcPr>
          <w:p w14:paraId="634BBFDA">
            <w:pPr>
              <w:pStyle w:val="11"/>
              <w:spacing w:after="0" w:line="240" w:lineRule="auto"/>
              <w:ind w:firstLine="0" w:firstLineChars="0"/>
              <w:jc w:val="center"/>
              <w:rPr>
                <w:color w:val="000000"/>
                <w:sz w:val="21"/>
                <w:szCs w:val="21"/>
              </w:rPr>
            </w:pPr>
            <w:r>
              <w:rPr>
                <w:rFonts w:hint="eastAsia"/>
                <w:color w:val="000000"/>
                <w:sz w:val="21"/>
                <w:szCs w:val="21"/>
              </w:rPr>
              <w:t>3</w:t>
            </w:r>
          </w:p>
        </w:tc>
        <w:tc>
          <w:tcPr>
            <w:tcW w:w="160" w:type="pct"/>
            <w:noWrap/>
            <w:vAlign w:val="center"/>
          </w:tcPr>
          <w:p w14:paraId="7AB537DB">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0CF48C0B">
            <w:pPr>
              <w:pStyle w:val="11"/>
              <w:spacing w:after="0" w:line="240" w:lineRule="auto"/>
              <w:ind w:firstLine="0" w:firstLineChars="0"/>
              <w:jc w:val="center"/>
              <w:rPr>
                <w:color w:val="000000"/>
                <w:sz w:val="21"/>
                <w:szCs w:val="21"/>
              </w:rPr>
            </w:pPr>
            <w:r>
              <w:rPr>
                <w:rFonts w:hint="eastAsia"/>
                <w:color w:val="000000"/>
                <w:sz w:val="21"/>
                <w:szCs w:val="21"/>
              </w:rPr>
              <w:t>15</w:t>
            </w:r>
          </w:p>
        </w:tc>
        <w:tc>
          <w:tcPr>
            <w:tcW w:w="313" w:type="pct"/>
            <w:noWrap/>
            <w:vAlign w:val="center"/>
          </w:tcPr>
          <w:p w14:paraId="3543C3A3">
            <w:pPr>
              <w:pStyle w:val="11"/>
              <w:spacing w:after="0" w:line="240" w:lineRule="auto"/>
              <w:ind w:firstLine="0" w:firstLineChars="0"/>
              <w:jc w:val="center"/>
              <w:rPr>
                <w:color w:val="000000"/>
                <w:sz w:val="21"/>
                <w:szCs w:val="21"/>
              </w:rPr>
            </w:pPr>
            <w:r>
              <w:rPr>
                <w:rFonts w:hint="eastAsia"/>
                <w:color w:val="000000"/>
                <w:sz w:val="21"/>
                <w:szCs w:val="21"/>
              </w:rPr>
              <w:t>135</w:t>
            </w:r>
          </w:p>
        </w:tc>
        <w:tc>
          <w:tcPr>
            <w:tcW w:w="381" w:type="pct"/>
            <w:noWrap/>
            <w:vAlign w:val="center"/>
          </w:tcPr>
          <w:p w14:paraId="6616B105">
            <w:pPr>
              <w:pStyle w:val="11"/>
              <w:spacing w:after="0" w:line="240" w:lineRule="auto"/>
              <w:ind w:firstLine="0" w:firstLineChars="0"/>
              <w:jc w:val="center"/>
              <w:rPr>
                <w:color w:val="000000"/>
                <w:sz w:val="21"/>
                <w:szCs w:val="21"/>
              </w:rPr>
            </w:pPr>
            <w:r>
              <w:rPr>
                <w:rFonts w:hint="eastAsia"/>
                <w:color w:val="000000"/>
                <w:sz w:val="21"/>
                <w:szCs w:val="21"/>
              </w:rPr>
              <w:t>Ⅲ</w:t>
            </w:r>
          </w:p>
        </w:tc>
        <w:tc>
          <w:tcPr>
            <w:tcW w:w="1647" w:type="pct"/>
            <w:noWrap/>
            <w:vAlign w:val="center"/>
          </w:tcPr>
          <w:p w14:paraId="2FEF620D">
            <w:pPr>
              <w:pStyle w:val="11"/>
              <w:spacing w:after="0" w:line="240" w:lineRule="auto"/>
              <w:ind w:firstLine="0" w:firstLineChars="0"/>
              <w:jc w:val="center"/>
              <w:rPr>
                <w:color w:val="000000"/>
                <w:sz w:val="21"/>
                <w:szCs w:val="21"/>
              </w:rPr>
            </w:pPr>
            <w:r>
              <w:rPr>
                <w:rFonts w:hint="eastAsia"/>
                <w:color w:val="000000"/>
                <w:sz w:val="21"/>
                <w:szCs w:val="21"/>
              </w:rPr>
              <w:t>组织班前交底，并按照规定佩戴安全防护用品</w:t>
            </w:r>
          </w:p>
        </w:tc>
      </w:tr>
      <w:tr w14:paraId="7BFE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216" w:type="pct"/>
            <w:noWrap/>
            <w:vAlign w:val="center"/>
          </w:tcPr>
          <w:p w14:paraId="2A53F195">
            <w:pPr>
              <w:pStyle w:val="11"/>
              <w:spacing w:after="0" w:line="240" w:lineRule="auto"/>
              <w:ind w:firstLine="0" w:firstLineChars="0"/>
              <w:jc w:val="center"/>
              <w:rPr>
                <w:color w:val="000000"/>
                <w:sz w:val="21"/>
                <w:szCs w:val="21"/>
              </w:rPr>
            </w:pPr>
            <w:r>
              <w:rPr>
                <w:rFonts w:hint="eastAsia"/>
                <w:color w:val="000000"/>
                <w:sz w:val="21"/>
                <w:szCs w:val="21"/>
              </w:rPr>
              <w:t>2</w:t>
            </w:r>
          </w:p>
        </w:tc>
        <w:tc>
          <w:tcPr>
            <w:tcW w:w="945" w:type="pct"/>
            <w:noWrap/>
            <w:vAlign w:val="center"/>
          </w:tcPr>
          <w:p w14:paraId="52F95FF3">
            <w:pPr>
              <w:pStyle w:val="11"/>
              <w:spacing w:after="0" w:line="240" w:lineRule="auto"/>
              <w:ind w:firstLine="0" w:firstLineChars="0"/>
              <w:jc w:val="center"/>
              <w:rPr>
                <w:color w:val="000000"/>
                <w:sz w:val="21"/>
                <w:szCs w:val="21"/>
              </w:rPr>
            </w:pPr>
            <w:r>
              <w:rPr>
                <w:rFonts w:hint="eastAsia"/>
                <w:color w:val="000000"/>
                <w:sz w:val="21"/>
                <w:szCs w:val="21"/>
              </w:rPr>
              <w:t>人员无证上岗</w:t>
            </w:r>
          </w:p>
        </w:tc>
        <w:tc>
          <w:tcPr>
            <w:tcW w:w="945" w:type="pct"/>
            <w:noWrap/>
            <w:vAlign w:val="center"/>
          </w:tcPr>
          <w:p w14:paraId="016CB62C">
            <w:pPr>
              <w:pStyle w:val="11"/>
              <w:spacing w:after="0" w:line="240" w:lineRule="auto"/>
              <w:ind w:firstLine="0" w:firstLineChars="0"/>
              <w:jc w:val="center"/>
              <w:rPr>
                <w:color w:val="000000"/>
                <w:sz w:val="21"/>
                <w:szCs w:val="21"/>
              </w:rPr>
            </w:pPr>
            <w:r>
              <w:rPr>
                <w:rFonts w:hint="eastAsia"/>
                <w:color w:val="000000"/>
                <w:sz w:val="21"/>
                <w:szCs w:val="21"/>
              </w:rPr>
              <w:t>机械起重伤害、物体打击、设备坍塌</w:t>
            </w:r>
          </w:p>
        </w:tc>
        <w:tc>
          <w:tcPr>
            <w:tcW w:w="153" w:type="pct"/>
            <w:noWrap/>
            <w:vAlign w:val="center"/>
          </w:tcPr>
          <w:p w14:paraId="045DBC54">
            <w:pPr>
              <w:pStyle w:val="11"/>
              <w:spacing w:after="0" w:line="240" w:lineRule="auto"/>
              <w:ind w:firstLine="0" w:firstLineChars="0"/>
              <w:jc w:val="center"/>
              <w:rPr>
                <w:color w:val="000000"/>
                <w:sz w:val="21"/>
                <w:szCs w:val="21"/>
              </w:rPr>
            </w:pPr>
            <w:r>
              <w:rPr>
                <w:rFonts w:hint="eastAsia"/>
                <w:color w:val="000000"/>
                <w:sz w:val="21"/>
                <w:szCs w:val="21"/>
              </w:rPr>
              <w:t>2</w:t>
            </w:r>
          </w:p>
        </w:tc>
        <w:tc>
          <w:tcPr>
            <w:tcW w:w="160" w:type="pct"/>
            <w:noWrap/>
            <w:vAlign w:val="center"/>
          </w:tcPr>
          <w:p w14:paraId="2A1BCD94">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4289BBD3">
            <w:pPr>
              <w:pStyle w:val="11"/>
              <w:spacing w:after="0" w:line="240" w:lineRule="auto"/>
              <w:ind w:firstLine="0" w:firstLineChars="0"/>
              <w:jc w:val="center"/>
              <w:rPr>
                <w:color w:val="000000"/>
                <w:sz w:val="21"/>
                <w:szCs w:val="21"/>
              </w:rPr>
            </w:pPr>
            <w:r>
              <w:rPr>
                <w:rFonts w:hint="eastAsia"/>
                <w:color w:val="000000"/>
                <w:sz w:val="21"/>
                <w:szCs w:val="21"/>
              </w:rPr>
              <w:t>40</w:t>
            </w:r>
          </w:p>
        </w:tc>
        <w:tc>
          <w:tcPr>
            <w:tcW w:w="313" w:type="pct"/>
            <w:noWrap/>
            <w:vAlign w:val="center"/>
          </w:tcPr>
          <w:p w14:paraId="38D22379">
            <w:pPr>
              <w:pStyle w:val="11"/>
              <w:spacing w:after="0" w:line="240" w:lineRule="auto"/>
              <w:ind w:firstLine="0" w:firstLineChars="0"/>
              <w:jc w:val="center"/>
              <w:rPr>
                <w:color w:val="000000"/>
                <w:sz w:val="21"/>
                <w:szCs w:val="21"/>
              </w:rPr>
            </w:pPr>
            <w:r>
              <w:rPr>
                <w:rFonts w:hint="eastAsia"/>
                <w:color w:val="000000"/>
                <w:sz w:val="21"/>
                <w:szCs w:val="21"/>
              </w:rPr>
              <w:t>240</w:t>
            </w:r>
          </w:p>
        </w:tc>
        <w:tc>
          <w:tcPr>
            <w:tcW w:w="381" w:type="pct"/>
            <w:noWrap/>
            <w:vAlign w:val="center"/>
          </w:tcPr>
          <w:p w14:paraId="3F9E1B62">
            <w:pPr>
              <w:pStyle w:val="11"/>
              <w:spacing w:after="0" w:line="240" w:lineRule="auto"/>
              <w:ind w:firstLine="0" w:firstLineChars="0"/>
              <w:jc w:val="center"/>
              <w:rPr>
                <w:color w:val="000000"/>
                <w:sz w:val="21"/>
                <w:szCs w:val="21"/>
              </w:rPr>
            </w:pPr>
            <w:r>
              <w:rPr>
                <w:rFonts w:hint="eastAsia"/>
                <w:color w:val="000000"/>
                <w:sz w:val="21"/>
                <w:szCs w:val="21"/>
              </w:rPr>
              <w:t>Ⅱ</w:t>
            </w:r>
          </w:p>
        </w:tc>
        <w:tc>
          <w:tcPr>
            <w:tcW w:w="1647" w:type="pct"/>
            <w:noWrap/>
            <w:vAlign w:val="center"/>
          </w:tcPr>
          <w:p w14:paraId="72856370">
            <w:pPr>
              <w:pStyle w:val="11"/>
              <w:spacing w:after="0" w:line="240" w:lineRule="auto"/>
              <w:ind w:firstLine="0" w:firstLineChars="0"/>
              <w:jc w:val="center"/>
              <w:rPr>
                <w:color w:val="000000"/>
                <w:sz w:val="21"/>
                <w:szCs w:val="21"/>
              </w:rPr>
            </w:pPr>
            <w:r>
              <w:rPr>
                <w:rFonts w:hint="eastAsia"/>
                <w:color w:val="000000"/>
                <w:sz w:val="21"/>
                <w:szCs w:val="21"/>
              </w:rPr>
              <w:t>特种设备作业人员必须持证上岗，并保证上岗证在有效期内</w:t>
            </w:r>
          </w:p>
        </w:tc>
      </w:tr>
      <w:tr w14:paraId="0BE2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216" w:type="pct"/>
            <w:noWrap/>
            <w:vAlign w:val="center"/>
          </w:tcPr>
          <w:p w14:paraId="314B7045">
            <w:pPr>
              <w:pStyle w:val="11"/>
              <w:spacing w:after="0" w:line="240" w:lineRule="auto"/>
              <w:ind w:firstLine="0" w:firstLineChars="0"/>
              <w:jc w:val="center"/>
              <w:rPr>
                <w:color w:val="000000"/>
                <w:sz w:val="21"/>
                <w:szCs w:val="21"/>
              </w:rPr>
            </w:pPr>
            <w:r>
              <w:rPr>
                <w:rFonts w:hint="eastAsia"/>
                <w:color w:val="000000"/>
                <w:sz w:val="21"/>
                <w:szCs w:val="21"/>
              </w:rPr>
              <w:t>3</w:t>
            </w:r>
          </w:p>
        </w:tc>
        <w:tc>
          <w:tcPr>
            <w:tcW w:w="945" w:type="pct"/>
            <w:noWrap/>
            <w:vAlign w:val="center"/>
          </w:tcPr>
          <w:p w14:paraId="694D2555">
            <w:pPr>
              <w:pStyle w:val="11"/>
              <w:spacing w:after="0" w:line="240" w:lineRule="auto"/>
              <w:ind w:firstLine="0" w:firstLineChars="0"/>
              <w:jc w:val="center"/>
              <w:rPr>
                <w:color w:val="000000"/>
                <w:sz w:val="21"/>
                <w:szCs w:val="21"/>
              </w:rPr>
            </w:pPr>
            <w:r>
              <w:rPr>
                <w:rFonts w:hint="eastAsia"/>
                <w:color w:val="000000"/>
                <w:sz w:val="21"/>
                <w:szCs w:val="21"/>
              </w:rPr>
              <w:t>未按照方案进行拆除作业</w:t>
            </w:r>
          </w:p>
        </w:tc>
        <w:tc>
          <w:tcPr>
            <w:tcW w:w="945" w:type="pct"/>
            <w:noWrap/>
            <w:vAlign w:val="center"/>
          </w:tcPr>
          <w:p w14:paraId="2919CDBB">
            <w:pPr>
              <w:pStyle w:val="11"/>
              <w:spacing w:after="0" w:line="240" w:lineRule="auto"/>
              <w:ind w:firstLine="0" w:firstLineChars="0"/>
              <w:jc w:val="center"/>
              <w:rPr>
                <w:color w:val="000000"/>
                <w:sz w:val="21"/>
                <w:szCs w:val="21"/>
              </w:rPr>
            </w:pPr>
            <w:r>
              <w:rPr>
                <w:rFonts w:hint="eastAsia"/>
                <w:color w:val="000000"/>
                <w:sz w:val="21"/>
                <w:szCs w:val="21"/>
              </w:rPr>
              <w:t>塔式起重机倾覆</w:t>
            </w:r>
          </w:p>
        </w:tc>
        <w:tc>
          <w:tcPr>
            <w:tcW w:w="153" w:type="pct"/>
            <w:noWrap/>
            <w:vAlign w:val="center"/>
          </w:tcPr>
          <w:p w14:paraId="7E3E9A23">
            <w:pPr>
              <w:pStyle w:val="11"/>
              <w:spacing w:after="0" w:line="240" w:lineRule="auto"/>
              <w:ind w:firstLine="0" w:firstLineChars="0"/>
              <w:jc w:val="center"/>
              <w:rPr>
                <w:rFonts w:eastAsia="宋体"/>
                <w:color w:val="000000"/>
                <w:sz w:val="21"/>
                <w:szCs w:val="21"/>
              </w:rPr>
            </w:pPr>
            <w:r>
              <w:rPr>
                <w:rFonts w:hint="eastAsia"/>
                <w:color w:val="000000"/>
                <w:sz w:val="21"/>
                <w:szCs w:val="21"/>
              </w:rPr>
              <w:t>2</w:t>
            </w:r>
          </w:p>
        </w:tc>
        <w:tc>
          <w:tcPr>
            <w:tcW w:w="160" w:type="pct"/>
            <w:noWrap/>
            <w:vAlign w:val="center"/>
          </w:tcPr>
          <w:p w14:paraId="2FFF5631">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46EB8DED">
            <w:pPr>
              <w:pStyle w:val="11"/>
              <w:spacing w:after="0" w:line="240" w:lineRule="auto"/>
              <w:ind w:firstLine="0" w:firstLineChars="0"/>
              <w:jc w:val="center"/>
              <w:rPr>
                <w:color w:val="000000"/>
                <w:sz w:val="21"/>
                <w:szCs w:val="21"/>
              </w:rPr>
            </w:pPr>
            <w:r>
              <w:rPr>
                <w:rFonts w:hint="eastAsia"/>
                <w:color w:val="000000"/>
                <w:sz w:val="21"/>
                <w:szCs w:val="21"/>
              </w:rPr>
              <w:t>40</w:t>
            </w:r>
          </w:p>
        </w:tc>
        <w:tc>
          <w:tcPr>
            <w:tcW w:w="313" w:type="pct"/>
            <w:noWrap/>
            <w:vAlign w:val="center"/>
          </w:tcPr>
          <w:p w14:paraId="5E3F201E">
            <w:pPr>
              <w:pStyle w:val="11"/>
              <w:spacing w:after="0" w:line="240" w:lineRule="auto"/>
              <w:ind w:firstLine="0" w:firstLineChars="0"/>
              <w:jc w:val="center"/>
              <w:rPr>
                <w:rFonts w:eastAsia="宋体"/>
                <w:color w:val="000000"/>
                <w:sz w:val="21"/>
                <w:szCs w:val="21"/>
              </w:rPr>
            </w:pPr>
            <w:r>
              <w:rPr>
                <w:rFonts w:hint="eastAsia"/>
                <w:color w:val="000000"/>
                <w:sz w:val="21"/>
                <w:szCs w:val="21"/>
              </w:rPr>
              <w:t>240</w:t>
            </w:r>
          </w:p>
        </w:tc>
        <w:tc>
          <w:tcPr>
            <w:tcW w:w="381" w:type="pct"/>
            <w:noWrap/>
            <w:vAlign w:val="center"/>
          </w:tcPr>
          <w:p w14:paraId="6E5D7E25">
            <w:pPr>
              <w:pStyle w:val="11"/>
              <w:spacing w:after="0" w:line="240" w:lineRule="auto"/>
              <w:ind w:firstLine="0" w:firstLineChars="0"/>
              <w:jc w:val="center"/>
              <w:rPr>
                <w:color w:val="000000"/>
                <w:sz w:val="21"/>
                <w:szCs w:val="21"/>
              </w:rPr>
            </w:pPr>
            <w:r>
              <w:rPr>
                <w:rFonts w:hint="eastAsia"/>
                <w:color w:val="000000"/>
                <w:sz w:val="21"/>
                <w:szCs w:val="21"/>
              </w:rPr>
              <w:t>Ⅱ</w:t>
            </w:r>
          </w:p>
        </w:tc>
        <w:tc>
          <w:tcPr>
            <w:tcW w:w="1647" w:type="pct"/>
            <w:noWrap/>
            <w:vAlign w:val="center"/>
          </w:tcPr>
          <w:p w14:paraId="4331BD7D">
            <w:pPr>
              <w:pStyle w:val="11"/>
              <w:spacing w:after="0" w:line="240" w:lineRule="auto"/>
              <w:ind w:firstLine="0" w:firstLineChars="0"/>
              <w:jc w:val="center"/>
              <w:rPr>
                <w:color w:val="000000"/>
                <w:sz w:val="21"/>
                <w:szCs w:val="21"/>
              </w:rPr>
            </w:pPr>
            <w:r>
              <w:rPr>
                <w:rFonts w:hint="eastAsia"/>
                <w:color w:val="000000"/>
                <w:sz w:val="21"/>
                <w:szCs w:val="21"/>
              </w:rPr>
              <w:t>对作业人员进行详细技术交底，确保作业人员按照方案施工。</w:t>
            </w:r>
          </w:p>
        </w:tc>
      </w:tr>
      <w:tr w14:paraId="4B55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216" w:type="pct"/>
            <w:noWrap/>
            <w:vAlign w:val="center"/>
          </w:tcPr>
          <w:p w14:paraId="3C0C612C">
            <w:pPr>
              <w:pStyle w:val="11"/>
              <w:spacing w:after="0" w:line="240" w:lineRule="auto"/>
              <w:ind w:firstLine="0" w:firstLineChars="0"/>
              <w:jc w:val="center"/>
              <w:rPr>
                <w:color w:val="000000"/>
                <w:sz w:val="21"/>
                <w:szCs w:val="21"/>
              </w:rPr>
            </w:pPr>
            <w:r>
              <w:rPr>
                <w:rFonts w:hint="eastAsia"/>
                <w:color w:val="000000"/>
                <w:sz w:val="21"/>
                <w:szCs w:val="21"/>
              </w:rPr>
              <w:t>4</w:t>
            </w:r>
          </w:p>
        </w:tc>
        <w:tc>
          <w:tcPr>
            <w:tcW w:w="945" w:type="pct"/>
            <w:noWrap/>
            <w:vAlign w:val="center"/>
          </w:tcPr>
          <w:p w14:paraId="5143AF93">
            <w:pPr>
              <w:pStyle w:val="11"/>
              <w:spacing w:after="0" w:line="240" w:lineRule="auto"/>
              <w:ind w:firstLine="0" w:firstLineChars="0"/>
              <w:jc w:val="center"/>
              <w:rPr>
                <w:color w:val="000000"/>
                <w:sz w:val="21"/>
                <w:szCs w:val="21"/>
              </w:rPr>
            </w:pPr>
            <w:r>
              <w:rPr>
                <w:rFonts w:hint="eastAsia"/>
                <w:color w:val="000000"/>
                <w:sz w:val="21"/>
                <w:szCs w:val="21"/>
              </w:rPr>
              <w:t>违章拆除</w:t>
            </w:r>
          </w:p>
        </w:tc>
        <w:tc>
          <w:tcPr>
            <w:tcW w:w="945" w:type="pct"/>
            <w:noWrap/>
            <w:vAlign w:val="center"/>
          </w:tcPr>
          <w:p w14:paraId="6CE102A7">
            <w:pPr>
              <w:pStyle w:val="11"/>
              <w:spacing w:after="0" w:line="240" w:lineRule="auto"/>
              <w:ind w:firstLine="0" w:firstLineChars="0"/>
              <w:jc w:val="center"/>
              <w:rPr>
                <w:color w:val="000000"/>
                <w:sz w:val="21"/>
                <w:szCs w:val="21"/>
              </w:rPr>
            </w:pPr>
            <w:r>
              <w:rPr>
                <w:rFonts w:hint="eastAsia"/>
                <w:color w:val="000000"/>
                <w:sz w:val="21"/>
                <w:szCs w:val="21"/>
              </w:rPr>
              <w:t>塔式起重机倾覆</w:t>
            </w:r>
          </w:p>
        </w:tc>
        <w:tc>
          <w:tcPr>
            <w:tcW w:w="153" w:type="pct"/>
            <w:noWrap/>
            <w:vAlign w:val="center"/>
          </w:tcPr>
          <w:p w14:paraId="48D844AC">
            <w:pPr>
              <w:pStyle w:val="11"/>
              <w:spacing w:after="0" w:line="240" w:lineRule="auto"/>
              <w:ind w:firstLine="0" w:firstLineChars="0"/>
              <w:jc w:val="center"/>
              <w:rPr>
                <w:rFonts w:eastAsia="宋体"/>
                <w:color w:val="000000"/>
                <w:sz w:val="21"/>
                <w:szCs w:val="21"/>
              </w:rPr>
            </w:pPr>
            <w:r>
              <w:rPr>
                <w:rFonts w:hint="eastAsia"/>
                <w:color w:val="000000"/>
                <w:sz w:val="21"/>
                <w:szCs w:val="21"/>
              </w:rPr>
              <w:t>2</w:t>
            </w:r>
          </w:p>
        </w:tc>
        <w:tc>
          <w:tcPr>
            <w:tcW w:w="160" w:type="pct"/>
            <w:noWrap/>
            <w:vAlign w:val="center"/>
          </w:tcPr>
          <w:p w14:paraId="622E0337">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31E05B68">
            <w:pPr>
              <w:pStyle w:val="11"/>
              <w:spacing w:after="0" w:line="240" w:lineRule="auto"/>
              <w:ind w:firstLine="0" w:firstLineChars="0"/>
              <w:jc w:val="center"/>
              <w:rPr>
                <w:color w:val="000000"/>
                <w:sz w:val="21"/>
                <w:szCs w:val="21"/>
              </w:rPr>
            </w:pPr>
            <w:r>
              <w:rPr>
                <w:rFonts w:hint="eastAsia"/>
                <w:color w:val="000000"/>
                <w:sz w:val="21"/>
                <w:szCs w:val="21"/>
              </w:rPr>
              <w:t>40</w:t>
            </w:r>
          </w:p>
        </w:tc>
        <w:tc>
          <w:tcPr>
            <w:tcW w:w="313" w:type="pct"/>
            <w:noWrap/>
            <w:vAlign w:val="center"/>
          </w:tcPr>
          <w:p w14:paraId="39120123">
            <w:pPr>
              <w:pStyle w:val="11"/>
              <w:spacing w:after="0" w:line="240" w:lineRule="auto"/>
              <w:ind w:firstLine="0" w:firstLineChars="0"/>
              <w:jc w:val="center"/>
              <w:rPr>
                <w:rFonts w:eastAsia="宋体"/>
                <w:color w:val="000000"/>
                <w:sz w:val="21"/>
                <w:szCs w:val="21"/>
              </w:rPr>
            </w:pPr>
            <w:r>
              <w:rPr>
                <w:rFonts w:hint="eastAsia"/>
                <w:color w:val="000000"/>
                <w:sz w:val="21"/>
                <w:szCs w:val="21"/>
              </w:rPr>
              <w:t>240</w:t>
            </w:r>
          </w:p>
        </w:tc>
        <w:tc>
          <w:tcPr>
            <w:tcW w:w="381" w:type="pct"/>
            <w:noWrap/>
            <w:vAlign w:val="center"/>
          </w:tcPr>
          <w:p w14:paraId="7BB3D74D">
            <w:pPr>
              <w:pStyle w:val="11"/>
              <w:spacing w:after="0" w:line="240" w:lineRule="auto"/>
              <w:ind w:firstLine="0" w:firstLineChars="0"/>
              <w:jc w:val="center"/>
              <w:rPr>
                <w:color w:val="000000"/>
                <w:sz w:val="21"/>
                <w:szCs w:val="21"/>
              </w:rPr>
            </w:pPr>
            <w:r>
              <w:rPr>
                <w:rFonts w:hint="eastAsia"/>
                <w:color w:val="000000"/>
                <w:sz w:val="21"/>
                <w:szCs w:val="21"/>
              </w:rPr>
              <w:t>Ⅱ</w:t>
            </w:r>
          </w:p>
        </w:tc>
        <w:tc>
          <w:tcPr>
            <w:tcW w:w="1647" w:type="pct"/>
            <w:noWrap/>
            <w:vAlign w:val="center"/>
          </w:tcPr>
          <w:p w14:paraId="4675E060">
            <w:pPr>
              <w:pStyle w:val="11"/>
              <w:spacing w:after="0" w:line="240" w:lineRule="auto"/>
              <w:ind w:firstLine="0" w:firstLineChars="0"/>
              <w:jc w:val="center"/>
              <w:rPr>
                <w:color w:val="000000"/>
                <w:sz w:val="21"/>
                <w:szCs w:val="21"/>
              </w:rPr>
            </w:pPr>
            <w:r>
              <w:rPr>
                <w:rFonts w:hint="eastAsia"/>
                <w:color w:val="000000"/>
                <w:sz w:val="21"/>
                <w:szCs w:val="21"/>
              </w:rPr>
              <w:t>安拆负责人、技术负责人、安全负责人必须现场监督，确保施工作业过程安全</w:t>
            </w:r>
          </w:p>
        </w:tc>
      </w:tr>
      <w:tr w14:paraId="3A6D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216" w:type="pct"/>
            <w:noWrap/>
            <w:vAlign w:val="center"/>
          </w:tcPr>
          <w:p w14:paraId="1D28FD53">
            <w:pPr>
              <w:pStyle w:val="11"/>
              <w:spacing w:after="0" w:line="240" w:lineRule="auto"/>
              <w:ind w:firstLine="0" w:firstLineChars="0"/>
              <w:jc w:val="center"/>
              <w:rPr>
                <w:color w:val="000000"/>
                <w:sz w:val="21"/>
                <w:szCs w:val="21"/>
              </w:rPr>
            </w:pPr>
            <w:r>
              <w:rPr>
                <w:rFonts w:hint="eastAsia"/>
                <w:color w:val="000000"/>
                <w:sz w:val="21"/>
                <w:szCs w:val="21"/>
              </w:rPr>
              <w:t>5</w:t>
            </w:r>
          </w:p>
        </w:tc>
        <w:tc>
          <w:tcPr>
            <w:tcW w:w="945" w:type="pct"/>
            <w:noWrap/>
            <w:vAlign w:val="center"/>
          </w:tcPr>
          <w:p w14:paraId="78A1DCF5">
            <w:pPr>
              <w:pStyle w:val="11"/>
              <w:spacing w:after="0" w:line="240" w:lineRule="auto"/>
              <w:ind w:firstLine="0" w:firstLineChars="0"/>
              <w:jc w:val="center"/>
              <w:rPr>
                <w:color w:val="000000"/>
                <w:sz w:val="21"/>
                <w:szCs w:val="21"/>
              </w:rPr>
            </w:pPr>
            <w:r>
              <w:rPr>
                <w:rFonts w:hint="eastAsia"/>
                <w:color w:val="000000"/>
                <w:sz w:val="21"/>
                <w:szCs w:val="21"/>
              </w:rPr>
              <w:t>高空作业机具存放不当</w:t>
            </w:r>
          </w:p>
        </w:tc>
        <w:tc>
          <w:tcPr>
            <w:tcW w:w="945" w:type="pct"/>
            <w:noWrap/>
            <w:vAlign w:val="center"/>
          </w:tcPr>
          <w:p w14:paraId="3782ABC1">
            <w:pPr>
              <w:pStyle w:val="11"/>
              <w:spacing w:after="0" w:line="240" w:lineRule="auto"/>
              <w:ind w:firstLine="0" w:firstLineChars="0"/>
              <w:jc w:val="center"/>
              <w:rPr>
                <w:color w:val="000000"/>
                <w:sz w:val="21"/>
                <w:szCs w:val="21"/>
              </w:rPr>
            </w:pPr>
            <w:r>
              <w:rPr>
                <w:rFonts w:hint="eastAsia"/>
                <w:color w:val="000000"/>
                <w:sz w:val="21"/>
                <w:szCs w:val="21"/>
              </w:rPr>
              <w:t>物体打击</w:t>
            </w:r>
          </w:p>
        </w:tc>
        <w:tc>
          <w:tcPr>
            <w:tcW w:w="153" w:type="pct"/>
            <w:noWrap/>
            <w:vAlign w:val="center"/>
          </w:tcPr>
          <w:p w14:paraId="1349AD1A">
            <w:pPr>
              <w:pStyle w:val="11"/>
              <w:spacing w:after="0" w:line="240" w:lineRule="auto"/>
              <w:ind w:firstLine="0" w:firstLineChars="0"/>
              <w:jc w:val="center"/>
              <w:rPr>
                <w:color w:val="000000"/>
                <w:sz w:val="21"/>
                <w:szCs w:val="21"/>
              </w:rPr>
            </w:pPr>
            <w:r>
              <w:rPr>
                <w:rFonts w:hint="eastAsia"/>
                <w:color w:val="000000"/>
                <w:sz w:val="21"/>
                <w:szCs w:val="21"/>
              </w:rPr>
              <w:t>3</w:t>
            </w:r>
          </w:p>
        </w:tc>
        <w:tc>
          <w:tcPr>
            <w:tcW w:w="160" w:type="pct"/>
            <w:noWrap/>
            <w:vAlign w:val="center"/>
          </w:tcPr>
          <w:p w14:paraId="75D9A4F9">
            <w:pPr>
              <w:pStyle w:val="11"/>
              <w:spacing w:after="0" w:line="240" w:lineRule="auto"/>
              <w:ind w:firstLine="0" w:firstLineChars="0"/>
              <w:jc w:val="center"/>
              <w:rPr>
                <w:color w:val="000000"/>
                <w:sz w:val="21"/>
                <w:szCs w:val="21"/>
              </w:rPr>
            </w:pPr>
            <w:r>
              <w:rPr>
                <w:rFonts w:hint="eastAsia"/>
                <w:color w:val="000000"/>
                <w:sz w:val="21"/>
                <w:szCs w:val="21"/>
              </w:rPr>
              <w:t>6</w:t>
            </w:r>
          </w:p>
        </w:tc>
        <w:tc>
          <w:tcPr>
            <w:tcW w:w="235" w:type="pct"/>
            <w:noWrap/>
            <w:vAlign w:val="center"/>
          </w:tcPr>
          <w:p w14:paraId="15F8EC51">
            <w:pPr>
              <w:pStyle w:val="11"/>
              <w:spacing w:after="0" w:line="240" w:lineRule="auto"/>
              <w:ind w:firstLine="0" w:firstLineChars="0"/>
              <w:jc w:val="center"/>
              <w:rPr>
                <w:color w:val="000000"/>
                <w:sz w:val="21"/>
                <w:szCs w:val="21"/>
              </w:rPr>
            </w:pPr>
            <w:r>
              <w:rPr>
                <w:rFonts w:hint="eastAsia"/>
                <w:color w:val="000000"/>
                <w:sz w:val="21"/>
                <w:szCs w:val="21"/>
              </w:rPr>
              <w:t>3</w:t>
            </w:r>
          </w:p>
        </w:tc>
        <w:tc>
          <w:tcPr>
            <w:tcW w:w="313" w:type="pct"/>
            <w:noWrap/>
            <w:vAlign w:val="center"/>
          </w:tcPr>
          <w:p w14:paraId="3D18A478">
            <w:pPr>
              <w:pStyle w:val="11"/>
              <w:spacing w:after="0" w:line="240" w:lineRule="auto"/>
              <w:ind w:firstLine="0" w:firstLineChars="0"/>
              <w:jc w:val="center"/>
              <w:rPr>
                <w:color w:val="000000"/>
                <w:sz w:val="21"/>
                <w:szCs w:val="21"/>
              </w:rPr>
            </w:pPr>
            <w:r>
              <w:rPr>
                <w:rFonts w:hint="eastAsia"/>
                <w:color w:val="000000"/>
                <w:sz w:val="21"/>
                <w:szCs w:val="21"/>
              </w:rPr>
              <w:t>54</w:t>
            </w:r>
          </w:p>
        </w:tc>
        <w:tc>
          <w:tcPr>
            <w:tcW w:w="381" w:type="pct"/>
            <w:noWrap/>
            <w:vAlign w:val="center"/>
          </w:tcPr>
          <w:p w14:paraId="7EF411F6">
            <w:pPr>
              <w:pStyle w:val="11"/>
              <w:spacing w:after="0" w:line="240" w:lineRule="auto"/>
              <w:ind w:firstLine="0" w:firstLineChars="0"/>
              <w:jc w:val="center"/>
              <w:rPr>
                <w:color w:val="000000"/>
                <w:sz w:val="21"/>
                <w:szCs w:val="21"/>
              </w:rPr>
            </w:pPr>
            <w:r>
              <w:rPr>
                <w:rFonts w:hint="eastAsia"/>
                <w:color w:val="000000"/>
                <w:sz w:val="21"/>
                <w:szCs w:val="21"/>
              </w:rPr>
              <w:t>Ⅳ</w:t>
            </w:r>
          </w:p>
        </w:tc>
        <w:tc>
          <w:tcPr>
            <w:tcW w:w="1647" w:type="pct"/>
            <w:noWrap/>
            <w:vAlign w:val="center"/>
          </w:tcPr>
          <w:p w14:paraId="1041A206">
            <w:pPr>
              <w:pStyle w:val="11"/>
              <w:spacing w:after="0" w:line="240" w:lineRule="auto"/>
              <w:ind w:firstLine="0" w:firstLineChars="0"/>
              <w:jc w:val="center"/>
              <w:rPr>
                <w:color w:val="000000"/>
                <w:sz w:val="21"/>
                <w:szCs w:val="21"/>
              </w:rPr>
            </w:pPr>
            <w:r>
              <w:rPr>
                <w:rFonts w:hint="eastAsia"/>
                <w:color w:val="000000"/>
                <w:sz w:val="21"/>
                <w:szCs w:val="21"/>
              </w:rPr>
              <w:t>高空作业配发工具袋，随身工具及零星物件应放在工具袋内</w:t>
            </w:r>
          </w:p>
        </w:tc>
      </w:tr>
      <w:tr w14:paraId="286C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216" w:type="pct"/>
            <w:noWrap/>
            <w:vAlign w:val="top"/>
          </w:tcPr>
          <w:p w14:paraId="3A75782E">
            <w:pPr>
              <w:pStyle w:val="11"/>
              <w:spacing w:after="0" w:line="240" w:lineRule="auto"/>
              <w:ind w:firstLine="0" w:firstLineChars="0"/>
              <w:jc w:val="center"/>
              <w:rPr>
                <w:color w:val="000000"/>
                <w:sz w:val="21"/>
                <w:szCs w:val="21"/>
              </w:rPr>
            </w:pPr>
            <w:r>
              <w:rPr>
                <w:rFonts w:hint="eastAsia"/>
                <w:color w:val="000000"/>
                <w:sz w:val="21"/>
                <w:szCs w:val="21"/>
              </w:rPr>
              <w:t>6</w:t>
            </w:r>
          </w:p>
        </w:tc>
        <w:tc>
          <w:tcPr>
            <w:tcW w:w="945" w:type="pct"/>
            <w:noWrap/>
            <w:vAlign w:val="center"/>
          </w:tcPr>
          <w:p w14:paraId="113AAE1E">
            <w:pPr>
              <w:pStyle w:val="11"/>
              <w:spacing w:after="0" w:line="240" w:lineRule="auto"/>
              <w:ind w:firstLine="0" w:firstLineChars="0"/>
              <w:jc w:val="center"/>
              <w:rPr>
                <w:color w:val="000000"/>
                <w:sz w:val="21"/>
                <w:szCs w:val="21"/>
              </w:rPr>
            </w:pPr>
            <w:r>
              <w:rPr>
                <w:rFonts w:hint="eastAsia"/>
                <w:color w:val="000000"/>
                <w:sz w:val="21"/>
                <w:szCs w:val="21"/>
              </w:rPr>
              <w:t>高空落物</w:t>
            </w:r>
          </w:p>
        </w:tc>
        <w:tc>
          <w:tcPr>
            <w:tcW w:w="945" w:type="pct"/>
            <w:noWrap/>
            <w:vAlign w:val="center"/>
          </w:tcPr>
          <w:p w14:paraId="69DB1F5C">
            <w:pPr>
              <w:pStyle w:val="11"/>
              <w:spacing w:after="0" w:line="240" w:lineRule="auto"/>
              <w:ind w:firstLine="0" w:firstLineChars="0"/>
              <w:jc w:val="center"/>
              <w:rPr>
                <w:color w:val="000000"/>
                <w:sz w:val="21"/>
                <w:szCs w:val="21"/>
              </w:rPr>
            </w:pPr>
            <w:r>
              <w:rPr>
                <w:rFonts w:hint="eastAsia"/>
                <w:color w:val="000000"/>
                <w:sz w:val="21"/>
                <w:szCs w:val="21"/>
              </w:rPr>
              <w:t>人员伤害</w:t>
            </w:r>
          </w:p>
        </w:tc>
        <w:tc>
          <w:tcPr>
            <w:tcW w:w="153" w:type="pct"/>
            <w:noWrap/>
            <w:vAlign w:val="center"/>
          </w:tcPr>
          <w:p w14:paraId="08D8DC66">
            <w:pPr>
              <w:pStyle w:val="11"/>
              <w:spacing w:after="0" w:line="240" w:lineRule="auto"/>
              <w:ind w:firstLine="0" w:firstLineChars="0"/>
              <w:jc w:val="center"/>
              <w:rPr>
                <w:color w:val="000000"/>
                <w:sz w:val="21"/>
                <w:szCs w:val="21"/>
              </w:rPr>
            </w:pPr>
            <w:r>
              <w:rPr>
                <w:rFonts w:hint="eastAsia"/>
                <w:color w:val="000000"/>
                <w:sz w:val="21"/>
                <w:szCs w:val="21"/>
              </w:rPr>
              <w:t>6</w:t>
            </w:r>
          </w:p>
        </w:tc>
        <w:tc>
          <w:tcPr>
            <w:tcW w:w="160" w:type="pct"/>
            <w:noWrap/>
            <w:vAlign w:val="center"/>
          </w:tcPr>
          <w:p w14:paraId="5F929C0E">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43E92B57">
            <w:pPr>
              <w:pStyle w:val="11"/>
              <w:spacing w:after="0" w:line="240" w:lineRule="auto"/>
              <w:ind w:firstLine="0" w:firstLineChars="0"/>
              <w:jc w:val="center"/>
              <w:rPr>
                <w:color w:val="000000"/>
                <w:sz w:val="21"/>
                <w:szCs w:val="21"/>
              </w:rPr>
            </w:pPr>
            <w:r>
              <w:rPr>
                <w:rFonts w:hint="eastAsia"/>
                <w:color w:val="000000"/>
                <w:sz w:val="21"/>
                <w:szCs w:val="21"/>
              </w:rPr>
              <w:t>15</w:t>
            </w:r>
          </w:p>
        </w:tc>
        <w:tc>
          <w:tcPr>
            <w:tcW w:w="313" w:type="pct"/>
            <w:noWrap/>
            <w:vAlign w:val="center"/>
          </w:tcPr>
          <w:p w14:paraId="30F87D6A">
            <w:pPr>
              <w:pStyle w:val="11"/>
              <w:spacing w:after="0" w:line="240" w:lineRule="auto"/>
              <w:ind w:firstLine="0" w:firstLineChars="0"/>
              <w:jc w:val="center"/>
              <w:rPr>
                <w:color w:val="000000"/>
                <w:sz w:val="21"/>
                <w:szCs w:val="21"/>
              </w:rPr>
            </w:pPr>
            <w:r>
              <w:rPr>
                <w:rFonts w:hint="eastAsia"/>
                <w:color w:val="000000"/>
                <w:sz w:val="21"/>
                <w:szCs w:val="21"/>
              </w:rPr>
              <w:t>270</w:t>
            </w:r>
          </w:p>
        </w:tc>
        <w:tc>
          <w:tcPr>
            <w:tcW w:w="381" w:type="pct"/>
            <w:noWrap/>
            <w:vAlign w:val="center"/>
          </w:tcPr>
          <w:p w14:paraId="24BF8C2B">
            <w:pPr>
              <w:pStyle w:val="11"/>
              <w:spacing w:after="0" w:line="240" w:lineRule="auto"/>
              <w:ind w:firstLine="0" w:firstLineChars="0"/>
              <w:jc w:val="center"/>
              <w:rPr>
                <w:color w:val="000000"/>
                <w:sz w:val="21"/>
                <w:szCs w:val="21"/>
              </w:rPr>
            </w:pPr>
            <w:r>
              <w:rPr>
                <w:rFonts w:hint="eastAsia"/>
                <w:color w:val="000000"/>
                <w:sz w:val="21"/>
                <w:szCs w:val="21"/>
              </w:rPr>
              <w:t>Ⅱ</w:t>
            </w:r>
          </w:p>
        </w:tc>
        <w:tc>
          <w:tcPr>
            <w:tcW w:w="1647" w:type="pct"/>
            <w:noWrap/>
            <w:vAlign w:val="top"/>
          </w:tcPr>
          <w:p w14:paraId="10296301">
            <w:pPr>
              <w:pStyle w:val="11"/>
              <w:spacing w:after="0" w:line="240" w:lineRule="auto"/>
              <w:ind w:firstLine="0" w:firstLineChars="0"/>
              <w:jc w:val="center"/>
              <w:rPr>
                <w:color w:val="000000"/>
                <w:sz w:val="21"/>
                <w:szCs w:val="21"/>
              </w:rPr>
            </w:pPr>
            <w:r>
              <w:rPr>
                <w:rFonts w:hint="eastAsia"/>
                <w:color w:val="000000"/>
                <w:sz w:val="21"/>
                <w:szCs w:val="21"/>
              </w:rPr>
              <w:t>打销轴时候必须有专人扶好销轴，防止坠落</w:t>
            </w:r>
          </w:p>
        </w:tc>
      </w:tr>
      <w:tr w14:paraId="5D01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216" w:type="pct"/>
            <w:noWrap/>
            <w:vAlign w:val="center"/>
          </w:tcPr>
          <w:p w14:paraId="4B9350E6">
            <w:pPr>
              <w:pStyle w:val="11"/>
              <w:spacing w:after="0" w:line="240" w:lineRule="auto"/>
              <w:ind w:firstLine="0" w:firstLineChars="0"/>
              <w:jc w:val="center"/>
              <w:rPr>
                <w:color w:val="000000"/>
                <w:sz w:val="21"/>
                <w:szCs w:val="21"/>
              </w:rPr>
            </w:pPr>
            <w:r>
              <w:rPr>
                <w:rFonts w:hint="eastAsia"/>
                <w:color w:val="000000"/>
                <w:sz w:val="21"/>
                <w:szCs w:val="21"/>
              </w:rPr>
              <w:t>7</w:t>
            </w:r>
          </w:p>
        </w:tc>
        <w:tc>
          <w:tcPr>
            <w:tcW w:w="945" w:type="pct"/>
            <w:noWrap/>
            <w:vAlign w:val="center"/>
          </w:tcPr>
          <w:p w14:paraId="0B1A5B63">
            <w:pPr>
              <w:pStyle w:val="11"/>
              <w:spacing w:after="0" w:line="240" w:lineRule="auto"/>
              <w:ind w:firstLine="0" w:firstLineChars="0"/>
              <w:jc w:val="center"/>
              <w:rPr>
                <w:color w:val="000000"/>
                <w:sz w:val="21"/>
                <w:szCs w:val="21"/>
              </w:rPr>
            </w:pPr>
            <w:r>
              <w:rPr>
                <w:rFonts w:hint="eastAsia"/>
                <w:color w:val="000000"/>
                <w:sz w:val="21"/>
                <w:szCs w:val="21"/>
              </w:rPr>
              <w:t>降塔时仍进行</w:t>
            </w:r>
          </w:p>
          <w:p w14:paraId="0ACCA809">
            <w:pPr>
              <w:pStyle w:val="11"/>
              <w:spacing w:after="0" w:line="240" w:lineRule="auto"/>
              <w:ind w:firstLine="0" w:firstLineChars="0"/>
              <w:jc w:val="center"/>
              <w:rPr>
                <w:color w:val="000000"/>
                <w:sz w:val="21"/>
                <w:szCs w:val="21"/>
              </w:rPr>
            </w:pPr>
            <w:r>
              <w:rPr>
                <w:rFonts w:hint="eastAsia"/>
                <w:color w:val="000000"/>
                <w:sz w:val="21"/>
                <w:szCs w:val="21"/>
              </w:rPr>
              <w:t>回转</w:t>
            </w:r>
          </w:p>
        </w:tc>
        <w:tc>
          <w:tcPr>
            <w:tcW w:w="945" w:type="pct"/>
            <w:noWrap/>
            <w:vAlign w:val="center"/>
          </w:tcPr>
          <w:p w14:paraId="1F0E0025">
            <w:pPr>
              <w:pStyle w:val="11"/>
              <w:spacing w:after="0" w:line="240" w:lineRule="auto"/>
              <w:ind w:firstLine="0" w:firstLineChars="0"/>
              <w:jc w:val="center"/>
              <w:rPr>
                <w:color w:val="000000"/>
                <w:sz w:val="21"/>
                <w:szCs w:val="21"/>
              </w:rPr>
            </w:pPr>
            <w:r>
              <w:rPr>
                <w:rFonts w:hint="eastAsia"/>
                <w:color w:val="000000"/>
                <w:sz w:val="21"/>
                <w:szCs w:val="21"/>
              </w:rPr>
              <w:t>塔式起重机倾覆、起重伤害</w:t>
            </w:r>
          </w:p>
        </w:tc>
        <w:tc>
          <w:tcPr>
            <w:tcW w:w="153" w:type="pct"/>
            <w:noWrap/>
            <w:vAlign w:val="center"/>
          </w:tcPr>
          <w:p w14:paraId="7CF3BEDA">
            <w:pPr>
              <w:pStyle w:val="11"/>
              <w:spacing w:after="0" w:line="240" w:lineRule="auto"/>
              <w:ind w:firstLine="0" w:firstLineChars="0"/>
              <w:jc w:val="center"/>
              <w:rPr>
                <w:rFonts w:eastAsia="宋体"/>
                <w:color w:val="000000"/>
                <w:sz w:val="21"/>
                <w:szCs w:val="21"/>
              </w:rPr>
            </w:pPr>
            <w:r>
              <w:rPr>
                <w:rFonts w:hint="eastAsia"/>
                <w:color w:val="000000"/>
                <w:sz w:val="21"/>
                <w:szCs w:val="21"/>
              </w:rPr>
              <w:t>2</w:t>
            </w:r>
          </w:p>
        </w:tc>
        <w:tc>
          <w:tcPr>
            <w:tcW w:w="160" w:type="pct"/>
            <w:noWrap/>
            <w:vAlign w:val="center"/>
          </w:tcPr>
          <w:p w14:paraId="78759E4D">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6AA371AE">
            <w:pPr>
              <w:pStyle w:val="11"/>
              <w:spacing w:after="0" w:line="240" w:lineRule="auto"/>
              <w:ind w:firstLine="0" w:firstLineChars="0"/>
              <w:jc w:val="center"/>
              <w:rPr>
                <w:color w:val="000000"/>
                <w:sz w:val="21"/>
                <w:szCs w:val="21"/>
              </w:rPr>
            </w:pPr>
            <w:r>
              <w:rPr>
                <w:rFonts w:hint="eastAsia"/>
                <w:color w:val="000000"/>
                <w:sz w:val="21"/>
                <w:szCs w:val="21"/>
              </w:rPr>
              <w:t>40</w:t>
            </w:r>
          </w:p>
        </w:tc>
        <w:tc>
          <w:tcPr>
            <w:tcW w:w="313" w:type="pct"/>
            <w:noWrap/>
            <w:vAlign w:val="center"/>
          </w:tcPr>
          <w:p w14:paraId="2FB3BFA5">
            <w:pPr>
              <w:pStyle w:val="11"/>
              <w:spacing w:after="0" w:line="240" w:lineRule="auto"/>
              <w:ind w:firstLine="0" w:firstLineChars="0"/>
              <w:jc w:val="center"/>
              <w:rPr>
                <w:rFonts w:eastAsia="宋体"/>
                <w:color w:val="000000"/>
                <w:sz w:val="21"/>
                <w:szCs w:val="21"/>
              </w:rPr>
            </w:pPr>
            <w:r>
              <w:rPr>
                <w:rFonts w:hint="eastAsia"/>
                <w:color w:val="000000"/>
                <w:sz w:val="21"/>
                <w:szCs w:val="21"/>
              </w:rPr>
              <w:t>240</w:t>
            </w:r>
          </w:p>
        </w:tc>
        <w:tc>
          <w:tcPr>
            <w:tcW w:w="381" w:type="pct"/>
            <w:noWrap/>
            <w:vAlign w:val="center"/>
          </w:tcPr>
          <w:p w14:paraId="19958C3F">
            <w:pPr>
              <w:pStyle w:val="11"/>
              <w:spacing w:after="0" w:line="240" w:lineRule="auto"/>
              <w:ind w:firstLine="0" w:firstLineChars="0"/>
              <w:jc w:val="center"/>
              <w:rPr>
                <w:color w:val="000000"/>
                <w:sz w:val="21"/>
                <w:szCs w:val="21"/>
              </w:rPr>
            </w:pPr>
            <w:r>
              <w:rPr>
                <w:rFonts w:hint="eastAsia"/>
                <w:color w:val="000000"/>
                <w:sz w:val="21"/>
                <w:szCs w:val="21"/>
              </w:rPr>
              <w:t>Ⅱ</w:t>
            </w:r>
          </w:p>
        </w:tc>
        <w:tc>
          <w:tcPr>
            <w:tcW w:w="1647" w:type="pct"/>
            <w:noWrap/>
            <w:vAlign w:val="center"/>
          </w:tcPr>
          <w:p w14:paraId="1A96D69E">
            <w:pPr>
              <w:pStyle w:val="11"/>
              <w:spacing w:after="0" w:line="240" w:lineRule="auto"/>
              <w:ind w:firstLine="0" w:firstLineChars="0"/>
              <w:jc w:val="center"/>
              <w:rPr>
                <w:color w:val="000000"/>
                <w:sz w:val="21"/>
                <w:szCs w:val="21"/>
              </w:rPr>
            </w:pPr>
            <w:r>
              <w:rPr>
                <w:rFonts w:hint="eastAsia"/>
                <w:color w:val="000000"/>
                <w:sz w:val="21"/>
                <w:szCs w:val="21"/>
              </w:rPr>
              <w:t>塔式起重机降节时严禁回转</w:t>
            </w:r>
          </w:p>
        </w:tc>
      </w:tr>
      <w:tr w14:paraId="2302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216" w:type="pct"/>
            <w:noWrap/>
            <w:vAlign w:val="center"/>
          </w:tcPr>
          <w:p w14:paraId="58F7D8E4">
            <w:pPr>
              <w:pStyle w:val="11"/>
              <w:spacing w:after="0" w:line="240" w:lineRule="auto"/>
              <w:ind w:firstLine="0" w:firstLineChars="0"/>
              <w:jc w:val="center"/>
              <w:rPr>
                <w:color w:val="000000"/>
                <w:sz w:val="21"/>
                <w:szCs w:val="21"/>
              </w:rPr>
            </w:pPr>
            <w:r>
              <w:rPr>
                <w:rFonts w:hint="eastAsia"/>
                <w:color w:val="000000"/>
                <w:sz w:val="21"/>
                <w:szCs w:val="21"/>
              </w:rPr>
              <w:t>8</w:t>
            </w:r>
          </w:p>
        </w:tc>
        <w:tc>
          <w:tcPr>
            <w:tcW w:w="945" w:type="pct"/>
            <w:noWrap/>
            <w:vAlign w:val="center"/>
          </w:tcPr>
          <w:p w14:paraId="5722392C">
            <w:pPr>
              <w:pStyle w:val="11"/>
              <w:spacing w:after="0" w:line="240" w:lineRule="auto"/>
              <w:ind w:firstLine="0" w:firstLineChars="0"/>
              <w:jc w:val="center"/>
              <w:rPr>
                <w:color w:val="000000"/>
                <w:sz w:val="21"/>
                <w:szCs w:val="21"/>
              </w:rPr>
            </w:pPr>
            <w:r>
              <w:rPr>
                <w:rFonts w:hint="eastAsia"/>
                <w:color w:val="000000"/>
                <w:sz w:val="21"/>
                <w:szCs w:val="21"/>
              </w:rPr>
              <w:t>垂直方向交叉施工</w:t>
            </w:r>
          </w:p>
        </w:tc>
        <w:tc>
          <w:tcPr>
            <w:tcW w:w="945" w:type="pct"/>
            <w:noWrap/>
            <w:vAlign w:val="center"/>
          </w:tcPr>
          <w:p w14:paraId="14203881">
            <w:pPr>
              <w:pStyle w:val="11"/>
              <w:spacing w:after="0" w:line="240" w:lineRule="auto"/>
              <w:ind w:firstLine="0" w:firstLineChars="0"/>
              <w:jc w:val="center"/>
              <w:rPr>
                <w:color w:val="000000"/>
                <w:sz w:val="21"/>
                <w:szCs w:val="21"/>
              </w:rPr>
            </w:pPr>
            <w:r>
              <w:rPr>
                <w:rFonts w:hint="eastAsia"/>
                <w:color w:val="000000"/>
                <w:sz w:val="21"/>
                <w:szCs w:val="21"/>
              </w:rPr>
              <w:t>坠落、物体打击</w:t>
            </w:r>
          </w:p>
        </w:tc>
        <w:tc>
          <w:tcPr>
            <w:tcW w:w="153" w:type="pct"/>
            <w:noWrap/>
            <w:vAlign w:val="center"/>
          </w:tcPr>
          <w:p w14:paraId="7886DFB5">
            <w:pPr>
              <w:pStyle w:val="11"/>
              <w:spacing w:after="0" w:line="240" w:lineRule="auto"/>
              <w:ind w:firstLine="0" w:firstLineChars="0"/>
              <w:jc w:val="center"/>
              <w:rPr>
                <w:color w:val="000000"/>
                <w:sz w:val="21"/>
                <w:szCs w:val="21"/>
              </w:rPr>
            </w:pPr>
            <w:r>
              <w:rPr>
                <w:rFonts w:hint="eastAsia"/>
                <w:color w:val="000000"/>
                <w:sz w:val="21"/>
                <w:szCs w:val="21"/>
              </w:rPr>
              <w:t>6</w:t>
            </w:r>
          </w:p>
        </w:tc>
        <w:tc>
          <w:tcPr>
            <w:tcW w:w="160" w:type="pct"/>
            <w:noWrap/>
            <w:vAlign w:val="center"/>
          </w:tcPr>
          <w:p w14:paraId="2A501B9A">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3D994D41">
            <w:pPr>
              <w:pStyle w:val="11"/>
              <w:spacing w:after="0" w:line="240" w:lineRule="auto"/>
              <w:ind w:firstLine="0" w:firstLineChars="0"/>
              <w:jc w:val="center"/>
              <w:rPr>
                <w:color w:val="000000"/>
                <w:sz w:val="21"/>
                <w:szCs w:val="21"/>
              </w:rPr>
            </w:pPr>
            <w:r>
              <w:rPr>
                <w:rFonts w:hint="eastAsia"/>
                <w:color w:val="000000"/>
                <w:sz w:val="21"/>
                <w:szCs w:val="21"/>
              </w:rPr>
              <w:t>8</w:t>
            </w:r>
          </w:p>
        </w:tc>
        <w:tc>
          <w:tcPr>
            <w:tcW w:w="313" w:type="pct"/>
            <w:noWrap/>
            <w:vAlign w:val="center"/>
          </w:tcPr>
          <w:p w14:paraId="309FC944">
            <w:pPr>
              <w:pStyle w:val="11"/>
              <w:spacing w:after="0" w:line="240" w:lineRule="auto"/>
              <w:ind w:firstLine="0" w:firstLineChars="0"/>
              <w:jc w:val="center"/>
              <w:rPr>
                <w:color w:val="000000"/>
                <w:sz w:val="21"/>
                <w:szCs w:val="21"/>
              </w:rPr>
            </w:pPr>
            <w:r>
              <w:rPr>
                <w:rFonts w:hint="eastAsia"/>
                <w:color w:val="000000"/>
                <w:sz w:val="21"/>
                <w:szCs w:val="21"/>
              </w:rPr>
              <w:t>144</w:t>
            </w:r>
          </w:p>
        </w:tc>
        <w:tc>
          <w:tcPr>
            <w:tcW w:w="381" w:type="pct"/>
            <w:noWrap/>
            <w:vAlign w:val="center"/>
          </w:tcPr>
          <w:p w14:paraId="089B0B6A">
            <w:pPr>
              <w:pStyle w:val="11"/>
              <w:spacing w:after="0" w:line="240" w:lineRule="auto"/>
              <w:ind w:firstLine="0" w:firstLineChars="0"/>
              <w:jc w:val="center"/>
              <w:rPr>
                <w:color w:val="000000"/>
                <w:sz w:val="21"/>
                <w:szCs w:val="21"/>
              </w:rPr>
            </w:pPr>
            <w:r>
              <w:rPr>
                <w:rFonts w:hint="eastAsia"/>
                <w:color w:val="000000"/>
                <w:sz w:val="21"/>
                <w:szCs w:val="21"/>
              </w:rPr>
              <w:t>Ⅲ</w:t>
            </w:r>
          </w:p>
        </w:tc>
        <w:tc>
          <w:tcPr>
            <w:tcW w:w="1647" w:type="pct"/>
            <w:noWrap/>
            <w:vAlign w:val="center"/>
          </w:tcPr>
          <w:p w14:paraId="41CA0AA5">
            <w:pPr>
              <w:pStyle w:val="11"/>
              <w:spacing w:after="0" w:line="240" w:lineRule="auto"/>
              <w:ind w:firstLine="0" w:firstLineChars="0"/>
              <w:jc w:val="center"/>
              <w:rPr>
                <w:color w:val="000000"/>
                <w:sz w:val="21"/>
                <w:szCs w:val="21"/>
              </w:rPr>
            </w:pPr>
            <w:r>
              <w:rPr>
                <w:rFonts w:hint="eastAsia"/>
                <w:color w:val="000000"/>
                <w:sz w:val="21"/>
                <w:szCs w:val="21"/>
              </w:rPr>
              <w:t>合理安排工作面，警戒区域红白带维护，专人监督，禁止非作业人员进入</w:t>
            </w:r>
          </w:p>
        </w:tc>
      </w:tr>
      <w:tr w14:paraId="20CA8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216" w:type="pct"/>
            <w:noWrap/>
            <w:vAlign w:val="center"/>
          </w:tcPr>
          <w:p w14:paraId="1E0E0952">
            <w:pPr>
              <w:pStyle w:val="11"/>
              <w:spacing w:after="0" w:line="240" w:lineRule="auto"/>
              <w:ind w:firstLine="0" w:firstLineChars="0"/>
              <w:jc w:val="center"/>
              <w:rPr>
                <w:color w:val="000000"/>
                <w:sz w:val="21"/>
                <w:szCs w:val="21"/>
              </w:rPr>
            </w:pPr>
            <w:r>
              <w:rPr>
                <w:rFonts w:hint="eastAsia"/>
                <w:color w:val="000000"/>
                <w:sz w:val="21"/>
                <w:szCs w:val="21"/>
              </w:rPr>
              <w:t>9</w:t>
            </w:r>
          </w:p>
        </w:tc>
        <w:tc>
          <w:tcPr>
            <w:tcW w:w="945" w:type="pct"/>
            <w:noWrap/>
            <w:vAlign w:val="center"/>
          </w:tcPr>
          <w:p w14:paraId="7ED477AA">
            <w:pPr>
              <w:pStyle w:val="11"/>
              <w:spacing w:after="0" w:line="240" w:lineRule="auto"/>
              <w:ind w:firstLine="0" w:firstLineChars="0"/>
              <w:jc w:val="center"/>
              <w:rPr>
                <w:color w:val="000000"/>
                <w:sz w:val="21"/>
                <w:szCs w:val="21"/>
              </w:rPr>
            </w:pPr>
            <w:r>
              <w:rPr>
                <w:rFonts w:hint="eastAsia"/>
                <w:color w:val="000000"/>
                <w:sz w:val="21"/>
                <w:szCs w:val="21"/>
              </w:rPr>
              <w:t>物体吊点不准确、起吊不平衡</w:t>
            </w:r>
          </w:p>
        </w:tc>
        <w:tc>
          <w:tcPr>
            <w:tcW w:w="945" w:type="pct"/>
            <w:noWrap/>
            <w:vAlign w:val="center"/>
          </w:tcPr>
          <w:p w14:paraId="640D574E">
            <w:pPr>
              <w:pStyle w:val="11"/>
              <w:spacing w:after="0" w:line="240" w:lineRule="auto"/>
              <w:ind w:firstLine="0" w:firstLineChars="0"/>
              <w:jc w:val="center"/>
              <w:rPr>
                <w:color w:val="000000"/>
                <w:sz w:val="21"/>
                <w:szCs w:val="21"/>
              </w:rPr>
            </w:pPr>
            <w:r>
              <w:rPr>
                <w:rFonts w:hint="eastAsia"/>
                <w:color w:val="000000"/>
                <w:sz w:val="21"/>
                <w:szCs w:val="21"/>
              </w:rPr>
              <w:t>物体打击、机具损坏</w:t>
            </w:r>
          </w:p>
        </w:tc>
        <w:tc>
          <w:tcPr>
            <w:tcW w:w="153" w:type="pct"/>
            <w:noWrap/>
            <w:vAlign w:val="center"/>
          </w:tcPr>
          <w:p w14:paraId="5FAFBB06">
            <w:pPr>
              <w:pStyle w:val="11"/>
              <w:spacing w:after="0" w:line="240" w:lineRule="auto"/>
              <w:ind w:firstLine="0" w:firstLineChars="0"/>
              <w:jc w:val="center"/>
              <w:rPr>
                <w:color w:val="000000"/>
                <w:sz w:val="21"/>
                <w:szCs w:val="21"/>
              </w:rPr>
            </w:pPr>
            <w:r>
              <w:rPr>
                <w:rFonts w:hint="eastAsia"/>
                <w:color w:val="000000"/>
                <w:sz w:val="21"/>
                <w:szCs w:val="21"/>
              </w:rPr>
              <w:t>6</w:t>
            </w:r>
          </w:p>
        </w:tc>
        <w:tc>
          <w:tcPr>
            <w:tcW w:w="160" w:type="pct"/>
            <w:noWrap/>
            <w:vAlign w:val="center"/>
          </w:tcPr>
          <w:p w14:paraId="7FFCA20F">
            <w:pPr>
              <w:pStyle w:val="11"/>
              <w:spacing w:after="0" w:line="240" w:lineRule="auto"/>
              <w:ind w:firstLine="0" w:firstLineChars="0"/>
              <w:jc w:val="center"/>
              <w:rPr>
                <w:color w:val="000000"/>
                <w:sz w:val="21"/>
                <w:szCs w:val="21"/>
              </w:rPr>
            </w:pPr>
            <w:r>
              <w:rPr>
                <w:rFonts w:hint="eastAsia"/>
                <w:color w:val="000000"/>
                <w:sz w:val="21"/>
                <w:szCs w:val="21"/>
              </w:rPr>
              <w:t>8</w:t>
            </w:r>
          </w:p>
        </w:tc>
        <w:tc>
          <w:tcPr>
            <w:tcW w:w="235" w:type="pct"/>
            <w:noWrap/>
            <w:vAlign w:val="center"/>
          </w:tcPr>
          <w:p w14:paraId="59ED8470">
            <w:pPr>
              <w:pStyle w:val="11"/>
              <w:spacing w:after="0" w:line="240" w:lineRule="auto"/>
              <w:ind w:firstLine="0" w:firstLineChars="0"/>
              <w:jc w:val="center"/>
              <w:rPr>
                <w:color w:val="000000"/>
                <w:sz w:val="21"/>
                <w:szCs w:val="21"/>
              </w:rPr>
            </w:pPr>
            <w:r>
              <w:rPr>
                <w:rFonts w:hint="eastAsia"/>
                <w:color w:val="000000"/>
                <w:sz w:val="21"/>
                <w:szCs w:val="21"/>
              </w:rPr>
              <w:t>10</w:t>
            </w:r>
          </w:p>
        </w:tc>
        <w:tc>
          <w:tcPr>
            <w:tcW w:w="313" w:type="pct"/>
            <w:noWrap/>
            <w:vAlign w:val="center"/>
          </w:tcPr>
          <w:p w14:paraId="35BB83DF">
            <w:pPr>
              <w:pStyle w:val="11"/>
              <w:spacing w:after="0" w:line="240" w:lineRule="auto"/>
              <w:ind w:firstLine="0" w:firstLineChars="0"/>
              <w:jc w:val="center"/>
              <w:rPr>
                <w:color w:val="000000"/>
                <w:sz w:val="21"/>
                <w:szCs w:val="21"/>
              </w:rPr>
            </w:pPr>
            <w:r>
              <w:rPr>
                <w:rFonts w:hint="eastAsia"/>
                <w:color w:val="000000"/>
                <w:sz w:val="21"/>
                <w:szCs w:val="21"/>
              </w:rPr>
              <w:t>480</w:t>
            </w:r>
          </w:p>
        </w:tc>
        <w:tc>
          <w:tcPr>
            <w:tcW w:w="381" w:type="pct"/>
            <w:noWrap/>
            <w:vAlign w:val="center"/>
          </w:tcPr>
          <w:p w14:paraId="7C186E4D">
            <w:pPr>
              <w:pStyle w:val="11"/>
              <w:spacing w:after="0" w:line="240" w:lineRule="auto"/>
              <w:ind w:firstLine="0" w:firstLineChars="0"/>
              <w:jc w:val="center"/>
              <w:rPr>
                <w:color w:val="000000"/>
                <w:sz w:val="21"/>
                <w:szCs w:val="21"/>
              </w:rPr>
            </w:pPr>
            <w:r>
              <w:rPr>
                <w:rFonts w:hint="eastAsia"/>
                <w:color w:val="000000"/>
                <w:sz w:val="21"/>
                <w:szCs w:val="21"/>
              </w:rPr>
              <w:t>Ⅱ</w:t>
            </w:r>
          </w:p>
        </w:tc>
        <w:tc>
          <w:tcPr>
            <w:tcW w:w="1647" w:type="pct"/>
            <w:noWrap/>
            <w:vAlign w:val="center"/>
          </w:tcPr>
          <w:p w14:paraId="34681E45">
            <w:pPr>
              <w:pStyle w:val="11"/>
              <w:spacing w:after="0" w:line="240" w:lineRule="auto"/>
              <w:ind w:firstLine="0" w:firstLineChars="0"/>
              <w:jc w:val="center"/>
              <w:rPr>
                <w:color w:val="000000"/>
                <w:sz w:val="21"/>
                <w:szCs w:val="21"/>
              </w:rPr>
            </w:pPr>
            <w:r>
              <w:rPr>
                <w:rFonts w:hint="eastAsia"/>
                <w:color w:val="000000"/>
                <w:sz w:val="21"/>
                <w:szCs w:val="21"/>
              </w:rPr>
              <w:t>按方案施工准确选择吊点</w:t>
            </w:r>
          </w:p>
        </w:tc>
      </w:tr>
      <w:tr w14:paraId="4324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216" w:type="pct"/>
            <w:noWrap/>
            <w:vAlign w:val="center"/>
          </w:tcPr>
          <w:p w14:paraId="0033FDB1">
            <w:pPr>
              <w:pStyle w:val="11"/>
              <w:spacing w:after="0" w:line="240" w:lineRule="auto"/>
              <w:ind w:firstLine="0" w:firstLineChars="0"/>
              <w:jc w:val="center"/>
              <w:rPr>
                <w:color w:val="000000"/>
                <w:sz w:val="21"/>
                <w:szCs w:val="21"/>
              </w:rPr>
            </w:pPr>
            <w:r>
              <w:rPr>
                <w:rFonts w:hint="eastAsia"/>
                <w:color w:val="000000"/>
                <w:sz w:val="21"/>
                <w:szCs w:val="21"/>
              </w:rPr>
              <w:t>10</w:t>
            </w:r>
          </w:p>
        </w:tc>
        <w:tc>
          <w:tcPr>
            <w:tcW w:w="945" w:type="pct"/>
            <w:noWrap/>
            <w:vAlign w:val="center"/>
          </w:tcPr>
          <w:p w14:paraId="093C9ED3">
            <w:pPr>
              <w:pStyle w:val="11"/>
              <w:spacing w:after="0" w:line="240" w:lineRule="auto"/>
              <w:ind w:firstLine="0" w:firstLineChars="0"/>
              <w:jc w:val="center"/>
              <w:rPr>
                <w:color w:val="000000"/>
                <w:sz w:val="21"/>
                <w:szCs w:val="21"/>
              </w:rPr>
            </w:pPr>
            <w:r>
              <w:rPr>
                <w:rFonts w:hint="eastAsia"/>
                <w:color w:val="000000"/>
                <w:sz w:val="21"/>
                <w:szCs w:val="21"/>
              </w:rPr>
              <w:t>作业人员触电</w:t>
            </w:r>
          </w:p>
        </w:tc>
        <w:tc>
          <w:tcPr>
            <w:tcW w:w="945" w:type="pct"/>
            <w:noWrap/>
            <w:vAlign w:val="center"/>
          </w:tcPr>
          <w:p w14:paraId="17565107">
            <w:pPr>
              <w:pStyle w:val="11"/>
              <w:spacing w:after="0" w:line="240" w:lineRule="auto"/>
              <w:ind w:firstLine="0" w:firstLineChars="0"/>
              <w:jc w:val="center"/>
              <w:rPr>
                <w:color w:val="000000"/>
                <w:sz w:val="21"/>
                <w:szCs w:val="21"/>
              </w:rPr>
            </w:pPr>
            <w:r>
              <w:rPr>
                <w:rFonts w:hint="eastAsia"/>
                <w:color w:val="000000"/>
                <w:sz w:val="21"/>
                <w:szCs w:val="21"/>
              </w:rPr>
              <w:t>人员伤害、设备损坏</w:t>
            </w:r>
          </w:p>
        </w:tc>
        <w:tc>
          <w:tcPr>
            <w:tcW w:w="153" w:type="pct"/>
            <w:noWrap/>
            <w:vAlign w:val="center"/>
          </w:tcPr>
          <w:p w14:paraId="7AAE9FCF">
            <w:pPr>
              <w:pStyle w:val="11"/>
              <w:spacing w:after="0" w:line="240" w:lineRule="auto"/>
              <w:ind w:firstLine="0" w:firstLineChars="0"/>
              <w:jc w:val="center"/>
              <w:rPr>
                <w:color w:val="000000"/>
                <w:sz w:val="21"/>
                <w:szCs w:val="21"/>
              </w:rPr>
            </w:pPr>
            <w:r>
              <w:rPr>
                <w:rFonts w:hint="eastAsia"/>
                <w:color w:val="000000"/>
                <w:sz w:val="21"/>
                <w:szCs w:val="21"/>
              </w:rPr>
              <w:t>6</w:t>
            </w:r>
          </w:p>
        </w:tc>
        <w:tc>
          <w:tcPr>
            <w:tcW w:w="160" w:type="pct"/>
            <w:noWrap/>
            <w:vAlign w:val="center"/>
          </w:tcPr>
          <w:p w14:paraId="31CB404E">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2110DD75">
            <w:pPr>
              <w:pStyle w:val="11"/>
              <w:spacing w:after="0" w:line="240" w:lineRule="auto"/>
              <w:ind w:firstLine="0" w:firstLineChars="0"/>
              <w:jc w:val="center"/>
              <w:rPr>
                <w:color w:val="000000"/>
                <w:sz w:val="21"/>
                <w:szCs w:val="21"/>
              </w:rPr>
            </w:pPr>
            <w:r>
              <w:rPr>
                <w:rFonts w:hint="eastAsia"/>
                <w:color w:val="000000"/>
                <w:sz w:val="21"/>
                <w:szCs w:val="21"/>
              </w:rPr>
              <w:t>15</w:t>
            </w:r>
          </w:p>
        </w:tc>
        <w:tc>
          <w:tcPr>
            <w:tcW w:w="313" w:type="pct"/>
            <w:noWrap/>
            <w:vAlign w:val="center"/>
          </w:tcPr>
          <w:p w14:paraId="701A2F37">
            <w:pPr>
              <w:pStyle w:val="11"/>
              <w:spacing w:after="0" w:line="240" w:lineRule="auto"/>
              <w:ind w:firstLine="0" w:firstLineChars="0"/>
              <w:jc w:val="center"/>
              <w:rPr>
                <w:color w:val="000000"/>
                <w:sz w:val="21"/>
                <w:szCs w:val="21"/>
              </w:rPr>
            </w:pPr>
            <w:r>
              <w:rPr>
                <w:rFonts w:hint="eastAsia"/>
                <w:color w:val="000000"/>
                <w:sz w:val="21"/>
                <w:szCs w:val="21"/>
              </w:rPr>
              <w:t>270</w:t>
            </w:r>
          </w:p>
        </w:tc>
        <w:tc>
          <w:tcPr>
            <w:tcW w:w="381" w:type="pct"/>
            <w:noWrap/>
            <w:vAlign w:val="center"/>
          </w:tcPr>
          <w:p w14:paraId="1A8DCB7B">
            <w:pPr>
              <w:pStyle w:val="11"/>
              <w:spacing w:after="0" w:line="240" w:lineRule="auto"/>
              <w:ind w:firstLine="0" w:firstLineChars="0"/>
              <w:jc w:val="center"/>
              <w:rPr>
                <w:color w:val="000000"/>
                <w:sz w:val="21"/>
                <w:szCs w:val="21"/>
              </w:rPr>
            </w:pPr>
            <w:r>
              <w:rPr>
                <w:rFonts w:hint="eastAsia"/>
                <w:color w:val="000000"/>
                <w:sz w:val="21"/>
                <w:szCs w:val="21"/>
              </w:rPr>
              <w:t>Ⅱ</w:t>
            </w:r>
          </w:p>
        </w:tc>
        <w:tc>
          <w:tcPr>
            <w:tcW w:w="1647" w:type="pct"/>
            <w:noWrap/>
            <w:vAlign w:val="center"/>
          </w:tcPr>
          <w:p w14:paraId="1870B4B4">
            <w:pPr>
              <w:pStyle w:val="11"/>
              <w:spacing w:after="0" w:line="240" w:lineRule="auto"/>
              <w:ind w:firstLine="0" w:firstLineChars="0"/>
              <w:jc w:val="center"/>
              <w:rPr>
                <w:color w:val="000000"/>
                <w:sz w:val="21"/>
                <w:szCs w:val="21"/>
              </w:rPr>
            </w:pPr>
            <w:r>
              <w:rPr>
                <w:rFonts w:hint="eastAsia"/>
                <w:color w:val="000000"/>
                <w:sz w:val="21"/>
                <w:szCs w:val="21"/>
              </w:rPr>
              <w:t>电缆通电前检查电缆有无破损、漏电，及时排除故障，选择合适的漏电保护器</w:t>
            </w:r>
          </w:p>
        </w:tc>
      </w:tr>
      <w:tr w14:paraId="277F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16" w:type="pct"/>
            <w:noWrap/>
            <w:vAlign w:val="center"/>
          </w:tcPr>
          <w:p w14:paraId="6BE84C9A">
            <w:pPr>
              <w:pStyle w:val="11"/>
              <w:spacing w:after="0" w:line="240" w:lineRule="auto"/>
              <w:ind w:firstLine="0" w:firstLineChars="0"/>
              <w:jc w:val="center"/>
              <w:rPr>
                <w:color w:val="000000"/>
                <w:sz w:val="21"/>
                <w:szCs w:val="21"/>
              </w:rPr>
            </w:pPr>
            <w:r>
              <w:rPr>
                <w:rFonts w:hint="eastAsia"/>
                <w:color w:val="000000"/>
                <w:sz w:val="21"/>
                <w:szCs w:val="21"/>
              </w:rPr>
              <w:t>11</w:t>
            </w:r>
          </w:p>
        </w:tc>
        <w:tc>
          <w:tcPr>
            <w:tcW w:w="945" w:type="pct"/>
            <w:noWrap/>
            <w:vAlign w:val="center"/>
          </w:tcPr>
          <w:p w14:paraId="48C50E2A">
            <w:pPr>
              <w:pStyle w:val="11"/>
              <w:spacing w:after="0" w:line="240" w:lineRule="auto"/>
              <w:ind w:firstLine="0" w:firstLineChars="0"/>
              <w:jc w:val="center"/>
              <w:rPr>
                <w:color w:val="000000"/>
                <w:sz w:val="21"/>
                <w:szCs w:val="21"/>
              </w:rPr>
            </w:pPr>
            <w:r>
              <w:rPr>
                <w:rFonts w:hint="eastAsia"/>
                <w:color w:val="000000"/>
                <w:sz w:val="21"/>
                <w:szCs w:val="21"/>
              </w:rPr>
              <w:t>恶劣天气进行设备拆卸作业</w:t>
            </w:r>
          </w:p>
        </w:tc>
        <w:tc>
          <w:tcPr>
            <w:tcW w:w="945" w:type="pct"/>
            <w:noWrap/>
            <w:vAlign w:val="center"/>
          </w:tcPr>
          <w:p w14:paraId="4D6429CE">
            <w:pPr>
              <w:pStyle w:val="11"/>
              <w:spacing w:after="0" w:line="240" w:lineRule="auto"/>
              <w:ind w:firstLine="0" w:firstLineChars="0"/>
              <w:jc w:val="center"/>
              <w:rPr>
                <w:color w:val="000000"/>
                <w:sz w:val="21"/>
                <w:szCs w:val="21"/>
              </w:rPr>
            </w:pPr>
            <w:r>
              <w:rPr>
                <w:rFonts w:hint="eastAsia"/>
                <w:color w:val="000000"/>
                <w:sz w:val="21"/>
                <w:szCs w:val="21"/>
              </w:rPr>
              <w:t>高空坠落、机毁人亡</w:t>
            </w:r>
          </w:p>
        </w:tc>
        <w:tc>
          <w:tcPr>
            <w:tcW w:w="153" w:type="pct"/>
            <w:noWrap/>
            <w:vAlign w:val="center"/>
          </w:tcPr>
          <w:p w14:paraId="50073A58">
            <w:pPr>
              <w:pStyle w:val="11"/>
              <w:spacing w:after="0" w:line="240" w:lineRule="auto"/>
              <w:ind w:firstLine="0" w:firstLineChars="0"/>
              <w:jc w:val="center"/>
              <w:rPr>
                <w:rFonts w:eastAsia="宋体"/>
                <w:color w:val="000000"/>
                <w:sz w:val="21"/>
                <w:szCs w:val="21"/>
              </w:rPr>
            </w:pPr>
            <w:r>
              <w:rPr>
                <w:rFonts w:hint="eastAsia"/>
                <w:color w:val="000000"/>
                <w:sz w:val="21"/>
                <w:szCs w:val="21"/>
              </w:rPr>
              <w:t>1</w:t>
            </w:r>
          </w:p>
        </w:tc>
        <w:tc>
          <w:tcPr>
            <w:tcW w:w="160" w:type="pct"/>
            <w:noWrap/>
            <w:vAlign w:val="center"/>
          </w:tcPr>
          <w:p w14:paraId="1F8EEB03">
            <w:pPr>
              <w:pStyle w:val="11"/>
              <w:spacing w:after="0" w:line="240" w:lineRule="auto"/>
              <w:ind w:firstLine="0" w:firstLineChars="0"/>
              <w:jc w:val="center"/>
              <w:rPr>
                <w:rFonts w:eastAsia="宋体"/>
                <w:color w:val="000000"/>
                <w:sz w:val="21"/>
                <w:szCs w:val="21"/>
              </w:rPr>
            </w:pPr>
            <w:r>
              <w:rPr>
                <w:rFonts w:hint="eastAsia"/>
                <w:color w:val="000000"/>
                <w:sz w:val="21"/>
                <w:szCs w:val="21"/>
              </w:rPr>
              <w:t>2</w:t>
            </w:r>
          </w:p>
        </w:tc>
        <w:tc>
          <w:tcPr>
            <w:tcW w:w="235" w:type="pct"/>
            <w:noWrap/>
            <w:vAlign w:val="center"/>
          </w:tcPr>
          <w:p w14:paraId="432D9B2E">
            <w:pPr>
              <w:pStyle w:val="11"/>
              <w:spacing w:after="0" w:line="240" w:lineRule="auto"/>
              <w:ind w:firstLine="0" w:firstLineChars="0"/>
              <w:jc w:val="center"/>
              <w:rPr>
                <w:rFonts w:eastAsia="宋体"/>
                <w:color w:val="000000"/>
                <w:sz w:val="21"/>
                <w:szCs w:val="21"/>
              </w:rPr>
            </w:pPr>
            <w:r>
              <w:rPr>
                <w:rFonts w:hint="eastAsia"/>
                <w:color w:val="000000"/>
                <w:sz w:val="21"/>
                <w:szCs w:val="21"/>
              </w:rPr>
              <w:t>40</w:t>
            </w:r>
          </w:p>
        </w:tc>
        <w:tc>
          <w:tcPr>
            <w:tcW w:w="313" w:type="pct"/>
            <w:noWrap/>
            <w:vAlign w:val="center"/>
          </w:tcPr>
          <w:p w14:paraId="6BDC825B">
            <w:pPr>
              <w:pStyle w:val="11"/>
              <w:spacing w:after="0" w:line="240" w:lineRule="auto"/>
              <w:ind w:firstLine="0" w:firstLineChars="0"/>
              <w:jc w:val="center"/>
              <w:rPr>
                <w:rFonts w:eastAsia="宋体"/>
                <w:color w:val="000000"/>
                <w:sz w:val="21"/>
                <w:szCs w:val="21"/>
              </w:rPr>
            </w:pPr>
            <w:r>
              <w:rPr>
                <w:rFonts w:hint="eastAsia"/>
                <w:color w:val="000000"/>
                <w:sz w:val="21"/>
                <w:szCs w:val="21"/>
              </w:rPr>
              <w:t>80</w:t>
            </w:r>
          </w:p>
        </w:tc>
        <w:tc>
          <w:tcPr>
            <w:tcW w:w="381" w:type="pct"/>
            <w:noWrap/>
            <w:vAlign w:val="center"/>
          </w:tcPr>
          <w:p w14:paraId="4CA3CEA9">
            <w:pPr>
              <w:pStyle w:val="11"/>
              <w:spacing w:after="0" w:line="240" w:lineRule="auto"/>
              <w:ind w:firstLine="0" w:firstLineChars="0"/>
              <w:jc w:val="center"/>
              <w:rPr>
                <w:color w:val="000000"/>
                <w:sz w:val="21"/>
                <w:szCs w:val="21"/>
              </w:rPr>
            </w:pPr>
            <w:r>
              <w:rPr>
                <w:rFonts w:hint="eastAsia"/>
                <w:color w:val="000000"/>
                <w:sz w:val="21"/>
                <w:szCs w:val="21"/>
              </w:rPr>
              <w:t>Ⅳ</w:t>
            </w:r>
          </w:p>
        </w:tc>
        <w:tc>
          <w:tcPr>
            <w:tcW w:w="1647" w:type="pct"/>
            <w:noWrap/>
            <w:vAlign w:val="center"/>
          </w:tcPr>
          <w:p w14:paraId="580CCFF5">
            <w:pPr>
              <w:pStyle w:val="11"/>
              <w:spacing w:after="0" w:line="240" w:lineRule="auto"/>
              <w:ind w:firstLine="0" w:firstLineChars="0"/>
              <w:jc w:val="center"/>
              <w:rPr>
                <w:color w:val="000000"/>
                <w:sz w:val="21"/>
                <w:szCs w:val="21"/>
              </w:rPr>
            </w:pPr>
            <w:r>
              <w:rPr>
                <w:rFonts w:hint="eastAsia"/>
                <w:color w:val="000000"/>
                <w:sz w:val="21"/>
                <w:szCs w:val="21"/>
              </w:rPr>
              <w:t>杜绝恶劣天气及超过四级风时进行安拆作业</w:t>
            </w:r>
          </w:p>
        </w:tc>
      </w:tr>
      <w:tr w14:paraId="1EB5D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16" w:type="pct"/>
            <w:noWrap/>
            <w:vAlign w:val="center"/>
          </w:tcPr>
          <w:p w14:paraId="1ABAF05A">
            <w:pPr>
              <w:pStyle w:val="11"/>
              <w:spacing w:after="0" w:line="240" w:lineRule="auto"/>
              <w:ind w:firstLine="0" w:firstLineChars="0"/>
              <w:jc w:val="center"/>
              <w:rPr>
                <w:rFonts w:eastAsia="宋体"/>
                <w:color w:val="000000"/>
                <w:sz w:val="21"/>
                <w:szCs w:val="21"/>
              </w:rPr>
            </w:pPr>
            <w:r>
              <w:rPr>
                <w:rFonts w:hint="eastAsia"/>
                <w:color w:val="000000"/>
                <w:sz w:val="21"/>
                <w:szCs w:val="21"/>
              </w:rPr>
              <w:t>12</w:t>
            </w:r>
          </w:p>
        </w:tc>
        <w:tc>
          <w:tcPr>
            <w:tcW w:w="945" w:type="pct"/>
            <w:noWrap/>
            <w:vAlign w:val="center"/>
          </w:tcPr>
          <w:p w14:paraId="1C82FE42">
            <w:pPr>
              <w:pStyle w:val="11"/>
              <w:spacing w:after="0" w:line="240" w:lineRule="auto"/>
              <w:ind w:firstLine="0" w:firstLineChars="0"/>
              <w:jc w:val="center"/>
              <w:rPr>
                <w:rFonts w:eastAsia="宋体"/>
                <w:color w:val="000000"/>
                <w:sz w:val="21"/>
                <w:szCs w:val="21"/>
              </w:rPr>
            </w:pPr>
            <w:r>
              <w:rPr>
                <w:rFonts w:hint="eastAsia"/>
                <w:color w:val="000000"/>
                <w:sz w:val="21"/>
                <w:szCs w:val="21"/>
              </w:rPr>
              <w:t>汽车吊或塔式起重机大臂触碰高压线</w:t>
            </w:r>
          </w:p>
        </w:tc>
        <w:tc>
          <w:tcPr>
            <w:tcW w:w="945" w:type="pct"/>
            <w:noWrap/>
            <w:vAlign w:val="center"/>
          </w:tcPr>
          <w:p w14:paraId="2414E593">
            <w:pPr>
              <w:pStyle w:val="11"/>
              <w:spacing w:after="0" w:line="240" w:lineRule="auto"/>
              <w:ind w:firstLine="0" w:firstLineChars="0"/>
              <w:jc w:val="center"/>
              <w:rPr>
                <w:rFonts w:eastAsia="宋体"/>
                <w:color w:val="000000"/>
                <w:sz w:val="21"/>
                <w:szCs w:val="21"/>
              </w:rPr>
            </w:pPr>
            <w:r>
              <w:rPr>
                <w:rFonts w:hint="eastAsia"/>
                <w:color w:val="000000"/>
                <w:sz w:val="21"/>
                <w:szCs w:val="21"/>
              </w:rPr>
              <w:t>人员伤害、设备损坏</w:t>
            </w:r>
          </w:p>
        </w:tc>
        <w:tc>
          <w:tcPr>
            <w:tcW w:w="153" w:type="pct"/>
            <w:noWrap/>
            <w:vAlign w:val="center"/>
          </w:tcPr>
          <w:p w14:paraId="063CFCE1">
            <w:pPr>
              <w:pStyle w:val="11"/>
              <w:spacing w:after="0" w:line="240" w:lineRule="auto"/>
              <w:ind w:firstLine="0" w:firstLineChars="0"/>
              <w:jc w:val="center"/>
              <w:rPr>
                <w:color w:val="000000"/>
                <w:sz w:val="21"/>
                <w:szCs w:val="21"/>
              </w:rPr>
            </w:pPr>
            <w:r>
              <w:rPr>
                <w:rFonts w:hint="eastAsia"/>
                <w:color w:val="000000"/>
                <w:sz w:val="21"/>
                <w:szCs w:val="21"/>
              </w:rPr>
              <w:t>6</w:t>
            </w:r>
          </w:p>
        </w:tc>
        <w:tc>
          <w:tcPr>
            <w:tcW w:w="160" w:type="pct"/>
            <w:noWrap/>
            <w:vAlign w:val="center"/>
          </w:tcPr>
          <w:p w14:paraId="422A6305">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2F3E7808">
            <w:pPr>
              <w:pStyle w:val="11"/>
              <w:spacing w:after="0" w:line="240" w:lineRule="auto"/>
              <w:ind w:firstLine="0" w:firstLineChars="0"/>
              <w:jc w:val="center"/>
              <w:rPr>
                <w:color w:val="000000"/>
                <w:sz w:val="21"/>
                <w:szCs w:val="21"/>
              </w:rPr>
            </w:pPr>
            <w:r>
              <w:rPr>
                <w:rFonts w:hint="eastAsia"/>
                <w:color w:val="000000"/>
                <w:sz w:val="21"/>
                <w:szCs w:val="21"/>
              </w:rPr>
              <w:t>15</w:t>
            </w:r>
          </w:p>
        </w:tc>
        <w:tc>
          <w:tcPr>
            <w:tcW w:w="313" w:type="pct"/>
            <w:noWrap/>
            <w:vAlign w:val="center"/>
          </w:tcPr>
          <w:p w14:paraId="72FDD4D9">
            <w:pPr>
              <w:pStyle w:val="11"/>
              <w:spacing w:after="0" w:line="240" w:lineRule="auto"/>
              <w:ind w:firstLine="0" w:firstLineChars="0"/>
              <w:jc w:val="center"/>
              <w:rPr>
                <w:color w:val="000000"/>
                <w:sz w:val="21"/>
                <w:szCs w:val="21"/>
              </w:rPr>
            </w:pPr>
            <w:r>
              <w:rPr>
                <w:rFonts w:hint="eastAsia"/>
                <w:color w:val="000000"/>
                <w:sz w:val="21"/>
                <w:szCs w:val="21"/>
              </w:rPr>
              <w:t>270</w:t>
            </w:r>
          </w:p>
        </w:tc>
        <w:tc>
          <w:tcPr>
            <w:tcW w:w="381" w:type="pct"/>
            <w:noWrap/>
            <w:vAlign w:val="center"/>
          </w:tcPr>
          <w:p w14:paraId="485EF840">
            <w:pPr>
              <w:pStyle w:val="11"/>
              <w:spacing w:after="0" w:line="240" w:lineRule="auto"/>
              <w:ind w:firstLine="0" w:firstLineChars="0"/>
              <w:jc w:val="center"/>
              <w:rPr>
                <w:color w:val="000000"/>
                <w:sz w:val="21"/>
                <w:szCs w:val="21"/>
              </w:rPr>
            </w:pPr>
            <w:r>
              <w:rPr>
                <w:rFonts w:hint="eastAsia"/>
                <w:color w:val="000000"/>
                <w:sz w:val="21"/>
                <w:szCs w:val="21"/>
              </w:rPr>
              <w:t>Ⅱ</w:t>
            </w:r>
          </w:p>
        </w:tc>
        <w:tc>
          <w:tcPr>
            <w:tcW w:w="1647" w:type="pct"/>
            <w:noWrap/>
            <w:vAlign w:val="center"/>
          </w:tcPr>
          <w:p w14:paraId="295539C1">
            <w:pPr>
              <w:pStyle w:val="11"/>
              <w:spacing w:after="0" w:line="240" w:lineRule="auto"/>
              <w:ind w:firstLine="0" w:firstLineChars="0"/>
              <w:jc w:val="left"/>
              <w:rPr>
                <w:rFonts w:eastAsia="宋体"/>
                <w:color w:val="000000"/>
                <w:sz w:val="21"/>
                <w:szCs w:val="21"/>
              </w:rPr>
            </w:pPr>
            <w:r>
              <w:rPr>
                <w:rFonts w:hint="eastAsia"/>
                <w:color w:val="000000"/>
                <w:sz w:val="21"/>
                <w:szCs w:val="21"/>
              </w:rPr>
              <w:t>加强安全防护，高压线6 m范围处挂彩旗、汽车吊吊钩处安装警示灯等；</w:t>
            </w:r>
          </w:p>
        </w:tc>
      </w:tr>
      <w:tr w14:paraId="224B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16" w:type="pct"/>
            <w:noWrap/>
            <w:vAlign w:val="center"/>
          </w:tcPr>
          <w:p w14:paraId="4B5E4769">
            <w:pPr>
              <w:pStyle w:val="11"/>
              <w:spacing w:after="0" w:line="240" w:lineRule="auto"/>
              <w:ind w:firstLine="0" w:firstLineChars="0"/>
              <w:jc w:val="center"/>
              <w:rPr>
                <w:color w:val="000000"/>
                <w:sz w:val="21"/>
                <w:szCs w:val="21"/>
              </w:rPr>
            </w:pPr>
            <w:r>
              <w:rPr>
                <w:rFonts w:hint="eastAsia"/>
                <w:color w:val="000000"/>
                <w:sz w:val="21"/>
                <w:szCs w:val="21"/>
              </w:rPr>
              <w:t>13</w:t>
            </w:r>
          </w:p>
        </w:tc>
        <w:tc>
          <w:tcPr>
            <w:tcW w:w="945" w:type="pct"/>
            <w:noWrap/>
            <w:vAlign w:val="center"/>
          </w:tcPr>
          <w:p w14:paraId="31B9380F">
            <w:pPr>
              <w:pStyle w:val="11"/>
              <w:spacing w:after="0" w:line="240" w:lineRule="auto"/>
              <w:ind w:firstLine="0" w:firstLineChars="0"/>
              <w:jc w:val="center"/>
              <w:rPr>
                <w:color w:val="000000"/>
                <w:sz w:val="21"/>
                <w:szCs w:val="21"/>
              </w:rPr>
            </w:pPr>
            <w:r>
              <w:rPr>
                <w:rFonts w:hint="eastAsia"/>
                <w:color w:val="000000"/>
                <w:sz w:val="21"/>
                <w:szCs w:val="21"/>
              </w:rPr>
              <w:t>汽车吊大臂折断</w:t>
            </w:r>
          </w:p>
        </w:tc>
        <w:tc>
          <w:tcPr>
            <w:tcW w:w="945" w:type="pct"/>
            <w:noWrap/>
            <w:vAlign w:val="center"/>
          </w:tcPr>
          <w:p w14:paraId="7A4C9B8E">
            <w:pPr>
              <w:pStyle w:val="11"/>
              <w:spacing w:after="0" w:line="240" w:lineRule="auto"/>
              <w:ind w:firstLine="0" w:firstLineChars="0"/>
              <w:jc w:val="center"/>
              <w:rPr>
                <w:color w:val="000000"/>
                <w:sz w:val="21"/>
                <w:szCs w:val="21"/>
              </w:rPr>
            </w:pPr>
            <w:r>
              <w:rPr>
                <w:rFonts w:hint="eastAsia"/>
                <w:color w:val="000000"/>
                <w:sz w:val="21"/>
                <w:szCs w:val="21"/>
              </w:rPr>
              <w:t>人员伤害、设备损坏</w:t>
            </w:r>
          </w:p>
        </w:tc>
        <w:tc>
          <w:tcPr>
            <w:tcW w:w="153" w:type="pct"/>
            <w:noWrap/>
            <w:vAlign w:val="center"/>
          </w:tcPr>
          <w:p w14:paraId="20E89CE8">
            <w:pPr>
              <w:pStyle w:val="11"/>
              <w:spacing w:after="0" w:line="240" w:lineRule="auto"/>
              <w:ind w:firstLine="0" w:firstLineChars="0"/>
              <w:jc w:val="center"/>
              <w:rPr>
                <w:color w:val="000000"/>
                <w:sz w:val="21"/>
                <w:szCs w:val="21"/>
              </w:rPr>
            </w:pPr>
            <w:r>
              <w:rPr>
                <w:rFonts w:hint="eastAsia"/>
                <w:color w:val="000000"/>
                <w:sz w:val="21"/>
                <w:szCs w:val="21"/>
              </w:rPr>
              <w:t>6</w:t>
            </w:r>
          </w:p>
        </w:tc>
        <w:tc>
          <w:tcPr>
            <w:tcW w:w="160" w:type="pct"/>
            <w:noWrap/>
            <w:vAlign w:val="center"/>
          </w:tcPr>
          <w:p w14:paraId="0EB1F3EB">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43229493">
            <w:pPr>
              <w:pStyle w:val="11"/>
              <w:spacing w:after="0" w:line="240" w:lineRule="auto"/>
              <w:ind w:firstLine="0" w:firstLineChars="0"/>
              <w:jc w:val="center"/>
              <w:rPr>
                <w:color w:val="000000"/>
                <w:sz w:val="21"/>
                <w:szCs w:val="21"/>
              </w:rPr>
            </w:pPr>
            <w:r>
              <w:rPr>
                <w:rFonts w:hint="eastAsia"/>
                <w:color w:val="000000"/>
                <w:sz w:val="21"/>
                <w:szCs w:val="21"/>
              </w:rPr>
              <w:t>15</w:t>
            </w:r>
          </w:p>
        </w:tc>
        <w:tc>
          <w:tcPr>
            <w:tcW w:w="313" w:type="pct"/>
            <w:noWrap/>
            <w:vAlign w:val="center"/>
          </w:tcPr>
          <w:p w14:paraId="57F1E623">
            <w:pPr>
              <w:pStyle w:val="11"/>
              <w:spacing w:after="0" w:line="240" w:lineRule="auto"/>
              <w:ind w:firstLine="0" w:firstLineChars="0"/>
              <w:jc w:val="center"/>
              <w:rPr>
                <w:color w:val="000000"/>
                <w:sz w:val="21"/>
                <w:szCs w:val="21"/>
              </w:rPr>
            </w:pPr>
            <w:r>
              <w:rPr>
                <w:rFonts w:hint="eastAsia"/>
                <w:color w:val="000000"/>
                <w:sz w:val="21"/>
                <w:szCs w:val="21"/>
              </w:rPr>
              <w:t>270</w:t>
            </w:r>
          </w:p>
        </w:tc>
        <w:tc>
          <w:tcPr>
            <w:tcW w:w="381" w:type="pct"/>
            <w:noWrap/>
            <w:vAlign w:val="center"/>
          </w:tcPr>
          <w:p w14:paraId="67280770">
            <w:pPr>
              <w:pStyle w:val="11"/>
              <w:spacing w:after="0" w:line="240" w:lineRule="auto"/>
              <w:ind w:firstLine="0" w:firstLineChars="0"/>
              <w:jc w:val="center"/>
              <w:rPr>
                <w:color w:val="000000"/>
                <w:sz w:val="21"/>
                <w:szCs w:val="21"/>
              </w:rPr>
            </w:pPr>
            <w:r>
              <w:rPr>
                <w:rFonts w:hint="eastAsia"/>
                <w:color w:val="000000"/>
                <w:sz w:val="21"/>
                <w:szCs w:val="21"/>
              </w:rPr>
              <w:t>Ⅱ</w:t>
            </w:r>
          </w:p>
        </w:tc>
        <w:tc>
          <w:tcPr>
            <w:tcW w:w="1647" w:type="pct"/>
            <w:noWrap/>
            <w:vAlign w:val="center"/>
          </w:tcPr>
          <w:p w14:paraId="1F91E8FF">
            <w:pPr>
              <w:pStyle w:val="11"/>
              <w:spacing w:after="0" w:line="240" w:lineRule="auto"/>
              <w:ind w:firstLine="0" w:firstLineChars="0"/>
              <w:jc w:val="left"/>
              <w:rPr>
                <w:color w:val="000000"/>
                <w:sz w:val="21"/>
                <w:szCs w:val="21"/>
              </w:rPr>
            </w:pPr>
            <w:r>
              <w:rPr>
                <w:rFonts w:hint="eastAsia"/>
                <w:color w:val="000000"/>
                <w:sz w:val="21"/>
                <w:szCs w:val="21"/>
              </w:rPr>
              <w:t>加强汽车吊进场验收、吊装过程中安装专人监控、指挥</w:t>
            </w:r>
          </w:p>
        </w:tc>
      </w:tr>
      <w:tr w14:paraId="2EB1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16" w:type="pct"/>
            <w:noWrap/>
            <w:vAlign w:val="center"/>
          </w:tcPr>
          <w:p w14:paraId="12A8A94C">
            <w:pPr>
              <w:pStyle w:val="11"/>
              <w:spacing w:after="0" w:line="240" w:lineRule="auto"/>
              <w:ind w:firstLine="0" w:firstLineChars="0"/>
              <w:jc w:val="center"/>
              <w:rPr>
                <w:color w:val="000000"/>
                <w:sz w:val="21"/>
                <w:szCs w:val="21"/>
              </w:rPr>
            </w:pPr>
            <w:r>
              <w:rPr>
                <w:rFonts w:hint="eastAsia"/>
                <w:color w:val="000000"/>
                <w:sz w:val="21"/>
                <w:szCs w:val="21"/>
              </w:rPr>
              <w:t>14</w:t>
            </w:r>
          </w:p>
        </w:tc>
        <w:tc>
          <w:tcPr>
            <w:tcW w:w="945" w:type="pct"/>
            <w:noWrap/>
            <w:vAlign w:val="center"/>
          </w:tcPr>
          <w:p w14:paraId="686151CD">
            <w:pPr>
              <w:pStyle w:val="11"/>
              <w:spacing w:after="0" w:line="240" w:lineRule="auto"/>
              <w:ind w:firstLine="0" w:firstLineChars="0"/>
              <w:jc w:val="center"/>
              <w:rPr>
                <w:color w:val="000000"/>
                <w:sz w:val="21"/>
                <w:szCs w:val="21"/>
              </w:rPr>
            </w:pPr>
            <w:r>
              <w:rPr>
                <w:rFonts w:hint="eastAsia"/>
                <w:color w:val="000000"/>
                <w:sz w:val="21"/>
                <w:szCs w:val="21"/>
              </w:rPr>
              <w:t>吊索具折断</w:t>
            </w:r>
          </w:p>
        </w:tc>
        <w:tc>
          <w:tcPr>
            <w:tcW w:w="945" w:type="pct"/>
            <w:noWrap/>
            <w:vAlign w:val="center"/>
          </w:tcPr>
          <w:p w14:paraId="216DB24C">
            <w:pPr>
              <w:pStyle w:val="11"/>
              <w:spacing w:after="0" w:line="240" w:lineRule="auto"/>
              <w:ind w:firstLine="0" w:firstLineChars="0"/>
              <w:jc w:val="center"/>
              <w:rPr>
                <w:color w:val="000000"/>
                <w:sz w:val="21"/>
                <w:szCs w:val="21"/>
              </w:rPr>
            </w:pPr>
            <w:r>
              <w:rPr>
                <w:rFonts w:hint="eastAsia"/>
                <w:color w:val="000000"/>
                <w:sz w:val="21"/>
                <w:szCs w:val="21"/>
              </w:rPr>
              <w:t>人员伤害、设备损坏</w:t>
            </w:r>
          </w:p>
        </w:tc>
        <w:tc>
          <w:tcPr>
            <w:tcW w:w="153" w:type="pct"/>
            <w:noWrap/>
            <w:vAlign w:val="center"/>
          </w:tcPr>
          <w:p w14:paraId="42325507">
            <w:pPr>
              <w:pStyle w:val="11"/>
              <w:spacing w:after="0" w:line="240" w:lineRule="auto"/>
              <w:ind w:firstLine="0" w:firstLineChars="0"/>
              <w:jc w:val="center"/>
              <w:rPr>
                <w:color w:val="000000"/>
                <w:sz w:val="21"/>
                <w:szCs w:val="21"/>
              </w:rPr>
            </w:pPr>
            <w:r>
              <w:rPr>
                <w:rFonts w:hint="eastAsia"/>
                <w:color w:val="000000"/>
                <w:sz w:val="21"/>
                <w:szCs w:val="21"/>
              </w:rPr>
              <w:t>6</w:t>
            </w:r>
          </w:p>
        </w:tc>
        <w:tc>
          <w:tcPr>
            <w:tcW w:w="160" w:type="pct"/>
            <w:noWrap/>
            <w:vAlign w:val="center"/>
          </w:tcPr>
          <w:p w14:paraId="07FEF8EB">
            <w:pPr>
              <w:pStyle w:val="11"/>
              <w:spacing w:after="0" w:line="240" w:lineRule="auto"/>
              <w:ind w:firstLine="0" w:firstLineChars="0"/>
              <w:jc w:val="center"/>
              <w:rPr>
                <w:color w:val="000000"/>
                <w:sz w:val="21"/>
                <w:szCs w:val="21"/>
              </w:rPr>
            </w:pPr>
            <w:r>
              <w:rPr>
                <w:rFonts w:hint="eastAsia"/>
                <w:color w:val="000000"/>
                <w:sz w:val="21"/>
                <w:szCs w:val="21"/>
              </w:rPr>
              <w:t>3</w:t>
            </w:r>
          </w:p>
        </w:tc>
        <w:tc>
          <w:tcPr>
            <w:tcW w:w="235" w:type="pct"/>
            <w:noWrap/>
            <w:vAlign w:val="center"/>
          </w:tcPr>
          <w:p w14:paraId="273A6532">
            <w:pPr>
              <w:pStyle w:val="11"/>
              <w:spacing w:after="0" w:line="240" w:lineRule="auto"/>
              <w:ind w:firstLine="0" w:firstLineChars="0"/>
              <w:jc w:val="center"/>
              <w:rPr>
                <w:color w:val="000000"/>
                <w:sz w:val="21"/>
                <w:szCs w:val="21"/>
              </w:rPr>
            </w:pPr>
            <w:r>
              <w:rPr>
                <w:rFonts w:hint="eastAsia"/>
                <w:color w:val="000000"/>
                <w:sz w:val="21"/>
                <w:szCs w:val="21"/>
              </w:rPr>
              <w:t>15</w:t>
            </w:r>
          </w:p>
        </w:tc>
        <w:tc>
          <w:tcPr>
            <w:tcW w:w="313" w:type="pct"/>
            <w:noWrap/>
            <w:vAlign w:val="center"/>
          </w:tcPr>
          <w:p w14:paraId="534DB741">
            <w:pPr>
              <w:pStyle w:val="11"/>
              <w:spacing w:after="0" w:line="240" w:lineRule="auto"/>
              <w:ind w:firstLine="0" w:firstLineChars="0"/>
              <w:jc w:val="center"/>
              <w:rPr>
                <w:color w:val="000000"/>
                <w:sz w:val="21"/>
                <w:szCs w:val="21"/>
              </w:rPr>
            </w:pPr>
            <w:r>
              <w:rPr>
                <w:rFonts w:hint="eastAsia"/>
                <w:color w:val="000000"/>
                <w:sz w:val="21"/>
                <w:szCs w:val="21"/>
              </w:rPr>
              <w:t>270</w:t>
            </w:r>
          </w:p>
        </w:tc>
        <w:tc>
          <w:tcPr>
            <w:tcW w:w="381" w:type="pct"/>
            <w:noWrap/>
            <w:vAlign w:val="center"/>
          </w:tcPr>
          <w:p w14:paraId="76B40D6D">
            <w:pPr>
              <w:pStyle w:val="11"/>
              <w:spacing w:after="0" w:line="240" w:lineRule="auto"/>
              <w:ind w:firstLine="0" w:firstLineChars="0"/>
              <w:jc w:val="center"/>
              <w:rPr>
                <w:color w:val="000000"/>
                <w:sz w:val="21"/>
                <w:szCs w:val="21"/>
              </w:rPr>
            </w:pPr>
            <w:r>
              <w:rPr>
                <w:rFonts w:hint="eastAsia"/>
                <w:color w:val="000000"/>
                <w:sz w:val="21"/>
                <w:szCs w:val="21"/>
              </w:rPr>
              <w:t>Ⅱ</w:t>
            </w:r>
          </w:p>
        </w:tc>
        <w:tc>
          <w:tcPr>
            <w:tcW w:w="1647" w:type="pct"/>
            <w:noWrap/>
            <w:vAlign w:val="center"/>
          </w:tcPr>
          <w:p w14:paraId="07109017">
            <w:pPr>
              <w:pStyle w:val="11"/>
              <w:spacing w:after="0" w:line="240" w:lineRule="auto"/>
              <w:ind w:firstLine="0" w:firstLineChars="0"/>
              <w:jc w:val="left"/>
              <w:rPr>
                <w:color w:val="000000"/>
                <w:sz w:val="21"/>
                <w:szCs w:val="21"/>
              </w:rPr>
            </w:pPr>
            <w:r>
              <w:rPr>
                <w:rFonts w:hint="eastAsia"/>
                <w:color w:val="000000"/>
                <w:sz w:val="21"/>
                <w:szCs w:val="21"/>
              </w:rPr>
              <w:t>加强吊索具进场验收、吊装过程中安装专人监控、指挥</w:t>
            </w:r>
          </w:p>
        </w:tc>
      </w:tr>
    </w:tbl>
    <w:p w14:paraId="0962CBA5">
      <w:pPr>
        <w:rPr>
          <w:color w:val="000000"/>
        </w:rPr>
      </w:pPr>
      <w:r>
        <w:rPr>
          <w:rFonts w:hint="eastAsia"/>
          <w:color w:val="000000"/>
        </w:rPr>
        <w:t>说明：危险性分数在70分以下的因素被认为是低风险性的，一般说来可以被人们所接受，定为4、5级。危险性分数为70以上，定为1、2、3级，是不可容许的风险。</w:t>
      </w:r>
    </w:p>
    <w:p w14:paraId="0CF4F893">
      <w:pPr>
        <w:rPr>
          <w:color w:val="000000"/>
        </w:rPr>
      </w:pPr>
      <w:r>
        <w:rPr>
          <w:rFonts w:hint="eastAsia"/>
          <w:color w:val="000000"/>
        </w:rPr>
        <w:t>分值在320以上定为1级，是极其危险，应停止工作；</w:t>
      </w:r>
    </w:p>
    <w:p w14:paraId="701F0124">
      <w:pPr>
        <w:rPr>
          <w:color w:val="000000"/>
        </w:rPr>
      </w:pPr>
      <w:r>
        <w:rPr>
          <w:rFonts w:hint="eastAsia"/>
          <w:color w:val="000000"/>
        </w:rPr>
        <w:t>分值在160～320之间定为2级，是高度危险，应立即整改；</w:t>
      </w:r>
    </w:p>
    <w:p w14:paraId="15EE54CE">
      <w:pPr>
        <w:rPr>
          <w:color w:val="000000"/>
        </w:rPr>
      </w:pPr>
      <w:r>
        <w:rPr>
          <w:rFonts w:hint="eastAsia"/>
          <w:color w:val="000000"/>
        </w:rPr>
        <w:t>分值在70～160之间定为3级，是显著的危险，需要整改；</w:t>
      </w:r>
    </w:p>
    <w:p w14:paraId="2A0528A9">
      <w:pPr>
        <w:rPr>
          <w:color w:val="000000"/>
        </w:rPr>
      </w:pPr>
      <w:r>
        <w:rPr>
          <w:rFonts w:hint="eastAsia"/>
          <w:color w:val="000000"/>
        </w:rPr>
        <w:t>分值在20～70之间定为4级，是一般危险，应注意；</w:t>
      </w:r>
    </w:p>
    <w:p w14:paraId="18CA12E8">
      <w:pPr>
        <w:rPr>
          <w:color w:val="000000"/>
        </w:rPr>
      </w:pPr>
      <w:r>
        <w:rPr>
          <w:rFonts w:hint="eastAsia"/>
          <w:color w:val="000000"/>
        </w:rPr>
        <w:t>分值在20以下，定为5级，是稍有危险，可以接受。</w:t>
      </w:r>
    </w:p>
    <w:p w14:paraId="6495E430">
      <w:pPr>
        <w:rPr>
          <w:color w:val="000000"/>
        </w:rPr>
      </w:pPr>
      <w:r>
        <w:rPr>
          <w:rFonts w:hint="eastAsia"/>
          <w:color w:val="000000"/>
        </w:rPr>
        <w:t>采用公式：D=LEC</w:t>
      </w:r>
    </w:p>
    <w:p w14:paraId="7D730BF1">
      <w:pPr>
        <w:rPr>
          <w:color w:val="000000"/>
        </w:rPr>
      </w:pPr>
      <w:r>
        <w:rPr>
          <w:rFonts w:hint="eastAsia"/>
          <w:color w:val="000000"/>
        </w:rPr>
        <w:t xml:space="preserve">    式中：D--岗位危险源危险性（危险程度）；</w:t>
      </w:r>
    </w:p>
    <w:p w14:paraId="4A6AA7DA">
      <w:pPr>
        <w:rPr>
          <w:color w:val="000000"/>
        </w:rPr>
      </w:pPr>
      <w:r>
        <w:rPr>
          <w:rFonts w:hint="eastAsia"/>
          <w:color w:val="000000"/>
        </w:rPr>
        <w:t>L--发生事故的可能性；</w:t>
      </w:r>
    </w:p>
    <w:p w14:paraId="7C486204">
      <w:pPr>
        <w:rPr>
          <w:color w:val="000000"/>
        </w:rPr>
      </w:pPr>
      <w:r>
        <w:rPr>
          <w:rFonts w:hint="eastAsia"/>
          <w:color w:val="000000"/>
        </w:rPr>
        <w:t>E--人体暴露在此种危险环境的频繁程度；</w:t>
      </w:r>
    </w:p>
    <w:p w14:paraId="26678DCF">
      <w:pPr>
        <w:rPr>
          <w:color w:val="000000"/>
        </w:rPr>
      </w:pPr>
      <w:r>
        <w:rPr>
          <w:rFonts w:hint="eastAsia"/>
          <w:color w:val="000000"/>
        </w:rPr>
        <w:t>C--一旦发生事故会造成的损失后果</w:t>
      </w:r>
    </w:p>
    <w:p w14:paraId="4C70E29C">
      <w:pPr>
        <w:rPr>
          <w:rFonts w:hint="eastAsia" w:ascii="仿宋" w:hAnsi="仿宋" w:eastAsia="仿宋" w:cs="仿宋"/>
          <w:color w:val="000000"/>
        </w:rPr>
      </w:pPr>
      <w:bookmarkStart w:id="115" w:name="_Toc7754"/>
      <w:bookmarkStart w:id="116" w:name="_Toc4957"/>
      <w:r>
        <w:rPr>
          <w:rFonts w:hint="eastAsia" w:ascii="仿宋" w:hAnsi="仿宋" w:eastAsia="仿宋" w:cs="仿宋"/>
          <w:color w:val="000000"/>
        </w:rPr>
        <w:t>11.2 塔式起重机拆除作业活动安全风险控制对策如下表所示</w:t>
      </w:r>
      <w:bookmarkEnd w:id="115"/>
      <w:bookmarkEnd w:id="116"/>
    </w:p>
    <w:p w14:paraId="36206782">
      <w:pPr>
        <w:pStyle w:val="127"/>
        <w:rPr>
          <w:rFonts w:hint="eastAsia" w:ascii="仿宋" w:hAnsi="仿宋" w:eastAsia="仿宋" w:cs="仿宋"/>
          <w:color w:val="000000"/>
        </w:rPr>
      </w:pPr>
      <w:r>
        <w:rPr>
          <w:rFonts w:hint="eastAsia" w:ascii="仿宋" w:hAnsi="仿宋" w:eastAsia="仿宋" w:cs="仿宋"/>
          <w:color w:val="000000"/>
        </w:rPr>
        <w:t>塔式起重机拆除作业活动安全风险控制对策表</w:t>
      </w:r>
    </w:p>
    <w:tbl>
      <w:tblPr>
        <w:tblStyle w:val="2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48"/>
        <w:gridCol w:w="787"/>
        <w:gridCol w:w="2250"/>
        <w:gridCol w:w="2775"/>
        <w:gridCol w:w="1575"/>
        <w:gridCol w:w="1635"/>
      </w:tblGrid>
      <w:tr w14:paraId="4B0953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6" w:type="pct"/>
            <w:noWrap/>
            <w:vAlign w:val="center"/>
          </w:tcPr>
          <w:p w14:paraId="1A75C417">
            <w:pPr>
              <w:pStyle w:val="128"/>
              <w:spacing w:before="93" w:after="93"/>
              <w:rPr>
                <w:color w:val="000000"/>
              </w:rPr>
            </w:pPr>
            <w:r>
              <w:rPr>
                <w:rFonts w:hint="eastAsia"/>
                <w:color w:val="000000"/>
              </w:rPr>
              <w:t>序</w:t>
            </w:r>
          </w:p>
          <w:p w14:paraId="516214AA">
            <w:pPr>
              <w:pStyle w:val="128"/>
              <w:spacing w:before="93" w:after="93"/>
              <w:rPr>
                <w:color w:val="000000"/>
              </w:rPr>
            </w:pPr>
            <w:r>
              <w:rPr>
                <w:rFonts w:hint="eastAsia"/>
                <w:color w:val="000000"/>
              </w:rPr>
              <w:t>号</w:t>
            </w:r>
          </w:p>
        </w:tc>
        <w:tc>
          <w:tcPr>
            <w:tcW w:w="411" w:type="pct"/>
            <w:noWrap/>
            <w:vAlign w:val="center"/>
          </w:tcPr>
          <w:p w14:paraId="17790293">
            <w:pPr>
              <w:pStyle w:val="128"/>
              <w:spacing w:before="93" w:after="93"/>
              <w:rPr>
                <w:color w:val="000000"/>
              </w:rPr>
            </w:pPr>
            <w:r>
              <w:rPr>
                <w:rFonts w:hint="eastAsia"/>
                <w:color w:val="000000"/>
              </w:rPr>
              <w:t>危险</w:t>
            </w:r>
          </w:p>
        </w:tc>
        <w:tc>
          <w:tcPr>
            <w:tcW w:w="1175" w:type="pct"/>
            <w:noWrap/>
            <w:vAlign w:val="center"/>
          </w:tcPr>
          <w:p w14:paraId="52B75BE2">
            <w:pPr>
              <w:pStyle w:val="128"/>
              <w:spacing w:before="93" w:after="93"/>
              <w:rPr>
                <w:color w:val="000000"/>
              </w:rPr>
            </w:pPr>
            <w:r>
              <w:rPr>
                <w:rFonts w:hint="eastAsia"/>
                <w:color w:val="000000"/>
              </w:rPr>
              <w:t>危险点描述</w:t>
            </w:r>
          </w:p>
        </w:tc>
        <w:tc>
          <w:tcPr>
            <w:tcW w:w="1449" w:type="pct"/>
            <w:noWrap/>
            <w:vAlign w:val="center"/>
          </w:tcPr>
          <w:p w14:paraId="1317D1D6">
            <w:pPr>
              <w:pStyle w:val="128"/>
              <w:spacing w:before="93" w:after="93"/>
              <w:rPr>
                <w:color w:val="000000"/>
              </w:rPr>
            </w:pPr>
            <w:r>
              <w:rPr>
                <w:rFonts w:hint="eastAsia"/>
                <w:color w:val="000000"/>
              </w:rPr>
              <w:t>拟采用的安全技术措施</w:t>
            </w:r>
          </w:p>
        </w:tc>
        <w:tc>
          <w:tcPr>
            <w:tcW w:w="822" w:type="pct"/>
            <w:noWrap/>
            <w:vAlign w:val="center"/>
          </w:tcPr>
          <w:p w14:paraId="066FFC9B">
            <w:pPr>
              <w:pStyle w:val="128"/>
              <w:spacing w:before="93" w:after="93"/>
              <w:rPr>
                <w:color w:val="000000"/>
              </w:rPr>
            </w:pPr>
            <w:r>
              <w:rPr>
                <w:rFonts w:hint="eastAsia"/>
                <w:color w:val="000000"/>
              </w:rPr>
              <w:t>实施负责人</w:t>
            </w:r>
          </w:p>
        </w:tc>
        <w:tc>
          <w:tcPr>
            <w:tcW w:w="854" w:type="pct"/>
            <w:noWrap/>
            <w:vAlign w:val="center"/>
          </w:tcPr>
          <w:p w14:paraId="2AF6376B">
            <w:pPr>
              <w:pStyle w:val="128"/>
              <w:spacing w:before="93" w:after="93"/>
              <w:rPr>
                <w:color w:val="000000"/>
              </w:rPr>
            </w:pPr>
            <w:r>
              <w:rPr>
                <w:rFonts w:hint="eastAsia"/>
                <w:color w:val="000000"/>
              </w:rPr>
              <w:t>实施</w:t>
            </w:r>
          </w:p>
          <w:p w14:paraId="60E0A418">
            <w:pPr>
              <w:pStyle w:val="128"/>
              <w:spacing w:before="93" w:after="93"/>
              <w:rPr>
                <w:color w:val="000000"/>
              </w:rPr>
            </w:pPr>
            <w:r>
              <w:rPr>
                <w:rFonts w:hint="eastAsia"/>
                <w:color w:val="000000"/>
              </w:rPr>
              <w:t>结果</w:t>
            </w:r>
          </w:p>
        </w:tc>
      </w:tr>
      <w:tr w14:paraId="5E529E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86" w:type="pct"/>
            <w:vMerge w:val="restart"/>
            <w:noWrap/>
            <w:vAlign w:val="center"/>
          </w:tcPr>
          <w:p w14:paraId="04B1CE04">
            <w:pPr>
              <w:pStyle w:val="128"/>
              <w:spacing w:before="93" w:after="93"/>
              <w:rPr>
                <w:color w:val="000000"/>
              </w:rPr>
            </w:pPr>
            <w:r>
              <w:rPr>
                <w:rFonts w:hint="eastAsia"/>
                <w:color w:val="000000"/>
              </w:rPr>
              <w:t>1</w:t>
            </w:r>
          </w:p>
        </w:tc>
        <w:tc>
          <w:tcPr>
            <w:tcW w:w="411" w:type="pct"/>
            <w:vMerge w:val="restart"/>
            <w:noWrap/>
            <w:vAlign w:val="center"/>
          </w:tcPr>
          <w:p w14:paraId="74A026E3">
            <w:pPr>
              <w:pStyle w:val="128"/>
              <w:spacing w:before="93" w:after="93"/>
              <w:rPr>
                <w:color w:val="000000"/>
              </w:rPr>
            </w:pPr>
            <w:r>
              <w:rPr>
                <w:rFonts w:hint="eastAsia"/>
                <w:color w:val="000000"/>
              </w:rPr>
              <w:t>高空坠落</w:t>
            </w:r>
          </w:p>
        </w:tc>
        <w:tc>
          <w:tcPr>
            <w:tcW w:w="1175" w:type="pct"/>
            <w:noWrap/>
            <w:vAlign w:val="center"/>
          </w:tcPr>
          <w:p w14:paraId="4A9A56A2">
            <w:pPr>
              <w:pStyle w:val="128"/>
              <w:spacing w:before="93" w:after="93"/>
              <w:rPr>
                <w:color w:val="000000"/>
              </w:rPr>
            </w:pPr>
            <w:r>
              <w:rPr>
                <w:rFonts w:hint="eastAsia"/>
                <w:color w:val="000000"/>
              </w:rPr>
              <w:t>作业人员高空移动时踩空、抓脱或受其他干扰时坠落</w:t>
            </w:r>
          </w:p>
        </w:tc>
        <w:tc>
          <w:tcPr>
            <w:tcW w:w="1449" w:type="pct"/>
            <w:noWrap/>
            <w:vAlign w:val="center"/>
          </w:tcPr>
          <w:p w14:paraId="579A52AA">
            <w:pPr>
              <w:pStyle w:val="128"/>
              <w:spacing w:before="93" w:after="93"/>
              <w:rPr>
                <w:color w:val="000000"/>
              </w:rPr>
            </w:pPr>
            <w:r>
              <w:rPr>
                <w:rFonts w:hint="eastAsia"/>
                <w:color w:val="000000"/>
              </w:rPr>
              <w:t>作业人员系挂安全带，移动时挂保险绳</w:t>
            </w:r>
          </w:p>
        </w:tc>
        <w:tc>
          <w:tcPr>
            <w:tcW w:w="822" w:type="pct"/>
            <w:noWrap/>
            <w:vAlign w:val="center"/>
          </w:tcPr>
          <w:p w14:paraId="3EA311EC">
            <w:pPr>
              <w:pStyle w:val="128"/>
              <w:spacing w:before="93" w:after="93"/>
              <w:rPr>
                <w:color w:val="000000"/>
              </w:rPr>
            </w:pPr>
            <w:r>
              <w:rPr>
                <w:rFonts w:hint="eastAsia"/>
                <w:color w:val="000000"/>
              </w:rPr>
              <w:t>班长</w:t>
            </w:r>
          </w:p>
          <w:p w14:paraId="199DBBF6">
            <w:pPr>
              <w:pStyle w:val="128"/>
              <w:spacing w:before="93" w:after="93"/>
              <w:rPr>
                <w:color w:val="000000"/>
              </w:rPr>
            </w:pPr>
            <w:r>
              <w:rPr>
                <w:rFonts w:hint="eastAsia"/>
                <w:color w:val="000000"/>
              </w:rPr>
              <w:t>作业人员</w:t>
            </w:r>
          </w:p>
        </w:tc>
        <w:tc>
          <w:tcPr>
            <w:tcW w:w="854" w:type="pct"/>
            <w:noWrap/>
            <w:vAlign w:val="center"/>
          </w:tcPr>
          <w:p w14:paraId="19F43EC5">
            <w:pPr>
              <w:pStyle w:val="128"/>
              <w:spacing w:before="93" w:after="93"/>
              <w:rPr>
                <w:color w:val="000000"/>
              </w:rPr>
            </w:pPr>
          </w:p>
        </w:tc>
      </w:tr>
      <w:tr w14:paraId="5CA77C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86" w:type="pct"/>
            <w:vMerge w:val="continue"/>
            <w:noWrap/>
            <w:vAlign w:val="center"/>
          </w:tcPr>
          <w:p w14:paraId="4EF0C08F">
            <w:pPr>
              <w:pStyle w:val="128"/>
              <w:spacing w:before="93" w:after="93"/>
              <w:rPr>
                <w:color w:val="000000"/>
              </w:rPr>
            </w:pPr>
          </w:p>
        </w:tc>
        <w:tc>
          <w:tcPr>
            <w:tcW w:w="411" w:type="pct"/>
            <w:vMerge w:val="continue"/>
            <w:noWrap/>
            <w:vAlign w:val="center"/>
          </w:tcPr>
          <w:p w14:paraId="60CA4A48">
            <w:pPr>
              <w:pStyle w:val="128"/>
              <w:spacing w:before="93" w:after="93"/>
              <w:rPr>
                <w:color w:val="000000"/>
              </w:rPr>
            </w:pPr>
          </w:p>
        </w:tc>
        <w:tc>
          <w:tcPr>
            <w:tcW w:w="1175" w:type="pct"/>
            <w:noWrap/>
            <w:vAlign w:val="center"/>
          </w:tcPr>
          <w:p w14:paraId="670FD534">
            <w:pPr>
              <w:pStyle w:val="128"/>
              <w:spacing w:before="93" w:after="93"/>
              <w:rPr>
                <w:color w:val="000000"/>
              </w:rPr>
            </w:pPr>
            <w:r>
              <w:rPr>
                <w:rFonts w:hint="eastAsia"/>
                <w:color w:val="000000"/>
              </w:rPr>
              <w:t>作业人员高处作业时坠落</w:t>
            </w:r>
          </w:p>
        </w:tc>
        <w:tc>
          <w:tcPr>
            <w:tcW w:w="1449" w:type="pct"/>
            <w:noWrap/>
            <w:vAlign w:val="center"/>
          </w:tcPr>
          <w:p w14:paraId="468FE986">
            <w:pPr>
              <w:pStyle w:val="128"/>
              <w:spacing w:before="93" w:after="93"/>
              <w:rPr>
                <w:color w:val="000000"/>
              </w:rPr>
            </w:pPr>
            <w:r>
              <w:rPr>
                <w:rFonts w:hint="eastAsia"/>
                <w:color w:val="000000"/>
              </w:rPr>
              <w:t>作业人员高处作业时必须系安全带或保险绳</w:t>
            </w:r>
          </w:p>
        </w:tc>
        <w:tc>
          <w:tcPr>
            <w:tcW w:w="822" w:type="pct"/>
            <w:noWrap/>
            <w:vAlign w:val="center"/>
          </w:tcPr>
          <w:p w14:paraId="3A239CD5">
            <w:pPr>
              <w:pStyle w:val="128"/>
              <w:spacing w:before="93" w:after="93"/>
              <w:rPr>
                <w:color w:val="000000"/>
              </w:rPr>
            </w:pPr>
            <w:r>
              <w:rPr>
                <w:rFonts w:hint="eastAsia"/>
                <w:color w:val="000000"/>
              </w:rPr>
              <w:t>班长</w:t>
            </w:r>
          </w:p>
          <w:p w14:paraId="5544AA04">
            <w:pPr>
              <w:pStyle w:val="128"/>
              <w:spacing w:before="93" w:after="93"/>
              <w:rPr>
                <w:color w:val="000000"/>
              </w:rPr>
            </w:pPr>
            <w:r>
              <w:rPr>
                <w:rFonts w:hint="eastAsia"/>
                <w:color w:val="000000"/>
              </w:rPr>
              <w:t>作业人员</w:t>
            </w:r>
          </w:p>
        </w:tc>
        <w:tc>
          <w:tcPr>
            <w:tcW w:w="854" w:type="pct"/>
            <w:noWrap/>
            <w:vAlign w:val="center"/>
          </w:tcPr>
          <w:p w14:paraId="36C6C26F">
            <w:pPr>
              <w:pStyle w:val="128"/>
              <w:spacing w:before="93" w:after="93"/>
              <w:rPr>
                <w:color w:val="000000"/>
              </w:rPr>
            </w:pPr>
          </w:p>
        </w:tc>
      </w:tr>
      <w:tr w14:paraId="0D01FD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86" w:type="pct"/>
            <w:vMerge w:val="continue"/>
            <w:noWrap/>
            <w:vAlign w:val="center"/>
          </w:tcPr>
          <w:p w14:paraId="63435FFE">
            <w:pPr>
              <w:pStyle w:val="128"/>
              <w:spacing w:before="93" w:after="93"/>
              <w:rPr>
                <w:color w:val="000000"/>
              </w:rPr>
            </w:pPr>
          </w:p>
        </w:tc>
        <w:tc>
          <w:tcPr>
            <w:tcW w:w="411" w:type="pct"/>
            <w:vMerge w:val="continue"/>
            <w:noWrap/>
            <w:vAlign w:val="center"/>
          </w:tcPr>
          <w:p w14:paraId="287A124B">
            <w:pPr>
              <w:pStyle w:val="128"/>
              <w:spacing w:before="93" w:after="93"/>
              <w:rPr>
                <w:color w:val="000000"/>
              </w:rPr>
            </w:pPr>
          </w:p>
        </w:tc>
        <w:tc>
          <w:tcPr>
            <w:tcW w:w="1175" w:type="pct"/>
            <w:noWrap/>
            <w:vAlign w:val="center"/>
          </w:tcPr>
          <w:p w14:paraId="47D627C4">
            <w:pPr>
              <w:pStyle w:val="128"/>
              <w:spacing w:before="93" w:after="93"/>
              <w:rPr>
                <w:color w:val="000000"/>
              </w:rPr>
            </w:pPr>
            <w:r>
              <w:rPr>
                <w:rFonts w:hint="eastAsia"/>
                <w:color w:val="000000"/>
              </w:rPr>
              <w:t>作业人员身体原因导致高空坠落</w:t>
            </w:r>
          </w:p>
        </w:tc>
        <w:tc>
          <w:tcPr>
            <w:tcW w:w="1449" w:type="pct"/>
            <w:noWrap/>
            <w:vAlign w:val="center"/>
          </w:tcPr>
          <w:p w14:paraId="066C1A41">
            <w:pPr>
              <w:pStyle w:val="128"/>
              <w:spacing w:before="93" w:after="93"/>
              <w:rPr>
                <w:color w:val="000000"/>
              </w:rPr>
            </w:pPr>
            <w:r>
              <w:rPr>
                <w:rFonts w:hint="eastAsia"/>
                <w:color w:val="000000"/>
              </w:rPr>
              <w:t>作业人员身体状况良好</w:t>
            </w:r>
          </w:p>
        </w:tc>
        <w:tc>
          <w:tcPr>
            <w:tcW w:w="822" w:type="pct"/>
            <w:noWrap/>
            <w:vAlign w:val="center"/>
          </w:tcPr>
          <w:p w14:paraId="42901A51">
            <w:pPr>
              <w:pStyle w:val="128"/>
              <w:spacing w:before="93" w:after="93"/>
              <w:rPr>
                <w:color w:val="000000"/>
              </w:rPr>
            </w:pPr>
            <w:r>
              <w:rPr>
                <w:rFonts w:hint="eastAsia"/>
                <w:color w:val="000000"/>
              </w:rPr>
              <w:t>专责安全员</w:t>
            </w:r>
          </w:p>
        </w:tc>
        <w:tc>
          <w:tcPr>
            <w:tcW w:w="854" w:type="pct"/>
            <w:noWrap/>
            <w:vAlign w:val="center"/>
          </w:tcPr>
          <w:p w14:paraId="2AC79416">
            <w:pPr>
              <w:pStyle w:val="128"/>
              <w:spacing w:before="93" w:after="93"/>
              <w:rPr>
                <w:color w:val="000000"/>
              </w:rPr>
            </w:pPr>
          </w:p>
        </w:tc>
      </w:tr>
      <w:tr w14:paraId="68595E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86" w:type="pct"/>
            <w:vMerge w:val="continue"/>
            <w:noWrap/>
            <w:vAlign w:val="center"/>
          </w:tcPr>
          <w:p w14:paraId="0B40BF93">
            <w:pPr>
              <w:pStyle w:val="128"/>
              <w:spacing w:before="93" w:after="93"/>
              <w:rPr>
                <w:color w:val="000000"/>
              </w:rPr>
            </w:pPr>
          </w:p>
        </w:tc>
        <w:tc>
          <w:tcPr>
            <w:tcW w:w="411" w:type="pct"/>
            <w:vMerge w:val="continue"/>
            <w:noWrap/>
            <w:vAlign w:val="center"/>
          </w:tcPr>
          <w:p w14:paraId="233D5F08">
            <w:pPr>
              <w:pStyle w:val="128"/>
              <w:spacing w:before="93" w:after="93"/>
              <w:rPr>
                <w:color w:val="000000"/>
              </w:rPr>
            </w:pPr>
          </w:p>
        </w:tc>
        <w:tc>
          <w:tcPr>
            <w:tcW w:w="1175" w:type="pct"/>
            <w:noWrap/>
            <w:vAlign w:val="center"/>
          </w:tcPr>
          <w:p w14:paraId="37F04921">
            <w:pPr>
              <w:pStyle w:val="128"/>
              <w:spacing w:before="93" w:after="93"/>
              <w:rPr>
                <w:color w:val="000000"/>
              </w:rPr>
            </w:pPr>
            <w:r>
              <w:rPr>
                <w:rFonts w:hint="eastAsia"/>
                <w:color w:val="000000"/>
              </w:rPr>
              <w:t>环境因素导致的高空坠落</w:t>
            </w:r>
          </w:p>
        </w:tc>
        <w:tc>
          <w:tcPr>
            <w:tcW w:w="1449" w:type="pct"/>
            <w:noWrap/>
            <w:vAlign w:val="center"/>
          </w:tcPr>
          <w:p w14:paraId="5072D669">
            <w:pPr>
              <w:pStyle w:val="128"/>
              <w:spacing w:before="93" w:after="93"/>
              <w:rPr>
                <w:color w:val="000000"/>
              </w:rPr>
            </w:pPr>
            <w:r>
              <w:rPr>
                <w:rFonts w:hint="eastAsia"/>
                <w:color w:val="000000"/>
              </w:rPr>
              <w:t>专人负责收集气象资料恶劣天气停止作业</w:t>
            </w:r>
          </w:p>
        </w:tc>
        <w:tc>
          <w:tcPr>
            <w:tcW w:w="822" w:type="pct"/>
            <w:noWrap/>
            <w:vAlign w:val="center"/>
          </w:tcPr>
          <w:p w14:paraId="25963A14">
            <w:pPr>
              <w:pStyle w:val="128"/>
              <w:spacing w:before="93" w:after="93"/>
              <w:rPr>
                <w:color w:val="000000"/>
              </w:rPr>
            </w:pPr>
            <w:r>
              <w:rPr>
                <w:rFonts w:hint="eastAsia"/>
                <w:color w:val="000000"/>
              </w:rPr>
              <w:t>专责安全员</w:t>
            </w:r>
          </w:p>
        </w:tc>
        <w:tc>
          <w:tcPr>
            <w:tcW w:w="854" w:type="pct"/>
            <w:noWrap/>
            <w:vAlign w:val="center"/>
          </w:tcPr>
          <w:p w14:paraId="067364DA">
            <w:pPr>
              <w:pStyle w:val="128"/>
              <w:spacing w:before="93" w:after="93"/>
              <w:rPr>
                <w:color w:val="000000"/>
              </w:rPr>
            </w:pPr>
          </w:p>
        </w:tc>
      </w:tr>
      <w:tr w14:paraId="11152D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86" w:type="pct"/>
            <w:vMerge w:val="continue"/>
            <w:noWrap/>
            <w:vAlign w:val="center"/>
          </w:tcPr>
          <w:p w14:paraId="5B88154F">
            <w:pPr>
              <w:pStyle w:val="128"/>
              <w:spacing w:before="93" w:after="93"/>
              <w:rPr>
                <w:color w:val="000000"/>
              </w:rPr>
            </w:pPr>
          </w:p>
        </w:tc>
        <w:tc>
          <w:tcPr>
            <w:tcW w:w="411" w:type="pct"/>
            <w:vMerge w:val="continue"/>
            <w:noWrap/>
            <w:vAlign w:val="center"/>
          </w:tcPr>
          <w:p w14:paraId="0654A395">
            <w:pPr>
              <w:pStyle w:val="128"/>
              <w:spacing w:before="93" w:after="93"/>
              <w:rPr>
                <w:color w:val="000000"/>
              </w:rPr>
            </w:pPr>
          </w:p>
        </w:tc>
        <w:tc>
          <w:tcPr>
            <w:tcW w:w="1175" w:type="pct"/>
            <w:noWrap/>
            <w:vAlign w:val="center"/>
          </w:tcPr>
          <w:p w14:paraId="446C1D8B">
            <w:pPr>
              <w:pStyle w:val="128"/>
              <w:spacing w:before="93" w:after="93"/>
              <w:rPr>
                <w:color w:val="000000"/>
              </w:rPr>
            </w:pPr>
            <w:r>
              <w:rPr>
                <w:rFonts w:hint="eastAsia"/>
                <w:color w:val="000000"/>
              </w:rPr>
              <w:t>安全带或保险绳断开使作业人员坠落</w:t>
            </w:r>
          </w:p>
        </w:tc>
        <w:tc>
          <w:tcPr>
            <w:tcW w:w="1449" w:type="pct"/>
            <w:noWrap/>
            <w:vAlign w:val="center"/>
          </w:tcPr>
          <w:p w14:paraId="772239E0">
            <w:pPr>
              <w:pStyle w:val="128"/>
              <w:spacing w:before="93" w:after="93"/>
              <w:rPr>
                <w:color w:val="000000"/>
              </w:rPr>
            </w:pPr>
            <w:r>
              <w:rPr>
                <w:rFonts w:hint="eastAsia"/>
                <w:color w:val="000000"/>
              </w:rPr>
              <w:t>作业前对安全带和保险绳进行检测；作业人员作业时不得以安全带和保险绳作为支持；在作业过程中防止损伤安全带和保险绳</w:t>
            </w:r>
          </w:p>
        </w:tc>
        <w:tc>
          <w:tcPr>
            <w:tcW w:w="822" w:type="pct"/>
            <w:noWrap/>
            <w:vAlign w:val="center"/>
          </w:tcPr>
          <w:p w14:paraId="33058C17">
            <w:pPr>
              <w:pStyle w:val="128"/>
              <w:spacing w:before="93" w:after="93"/>
              <w:rPr>
                <w:color w:val="000000"/>
              </w:rPr>
            </w:pPr>
            <w:r>
              <w:rPr>
                <w:rFonts w:hint="eastAsia"/>
                <w:color w:val="000000"/>
              </w:rPr>
              <w:t>专责安全员</w:t>
            </w:r>
          </w:p>
          <w:p w14:paraId="5C266157">
            <w:pPr>
              <w:pStyle w:val="128"/>
              <w:spacing w:before="93" w:after="93"/>
              <w:rPr>
                <w:color w:val="000000"/>
              </w:rPr>
            </w:pPr>
            <w:r>
              <w:rPr>
                <w:rFonts w:hint="eastAsia"/>
                <w:color w:val="000000"/>
              </w:rPr>
              <w:t>作业人员</w:t>
            </w:r>
          </w:p>
        </w:tc>
        <w:tc>
          <w:tcPr>
            <w:tcW w:w="854" w:type="pct"/>
            <w:noWrap/>
            <w:vAlign w:val="center"/>
          </w:tcPr>
          <w:p w14:paraId="67F864C8">
            <w:pPr>
              <w:pStyle w:val="128"/>
              <w:spacing w:before="93" w:after="93"/>
              <w:rPr>
                <w:color w:val="000000"/>
              </w:rPr>
            </w:pPr>
          </w:p>
        </w:tc>
      </w:tr>
      <w:tr w14:paraId="41CDF5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Pr>
        <w:tc>
          <w:tcPr>
            <w:tcW w:w="286" w:type="pct"/>
            <w:vMerge w:val="restart"/>
            <w:noWrap/>
            <w:vAlign w:val="center"/>
          </w:tcPr>
          <w:p w14:paraId="1F3E04DB">
            <w:pPr>
              <w:pStyle w:val="128"/>
              <w:spacing w:before="93" w:after="93"/>
              <w:rPr>
                <w:color w:val="000000"/>
              </w:rPr>
            </w:pPr>
            <w:r>
              <w:rPr>
                <w:rFonts w:hint="eastAsia"/>
                <w:color w:val="000000"/>
              </w:rPr>
              <w:t>2</w:t>
            </w:r>
          </w:p>
        </w:tc>
        <w:tc>
          <w:tcPr>
            <w:tcW w:w="411" w:type="pct"/>
            <w:vMerge w:val="restart"/>
            <w:noWrap/>
            <w:vAlign w:val="center"/>
          </w:tcPr>
          <w:p w14:paraId="0D6B709D">
            <w:pPr>
              <w:pStyle w:val="128"/>
              <w:spacing w:before="93" w:after="93"/>
              <w:rPr>
                <w:color w:val="000000"/>
              </w:rPr>
            </w:pPr>
            <w:r>
              <w:rPr>
                <w:rFonts w:hint="eastAsia"/>
                <w:color w:val="000000"/>
              </w:rPr>
              <w:t>高空落物</w:t>
            </w:r>
          </w:p>
        </w:tc>
        <w:tc>
          <w:tcPr>
            <w:tcW w:w="1175" w:type="pct"/>
            <w:noWrap/>
            <w:vAlign w:val="center"/>
          </w:tcPr>
          <w:p w14:paraId="1F8352AC">
            <w:pPr>
              <w:pStyle w:val="128"/>
              <w:spacing w:before="93" w:after="93"/>
              <w:rPr>
                <w:color w:val="000000"/>
              </w:rPr>
            </w:pPr>
            <w:r>
              <w:rPr>
                <w:rFonts w:hint="eastAsia"/>
                <w:color w:val="000000"/>
              </w:rPr>
              <w:t>高处作业时使用的工具和拆除时的销轴放置不当从高空坠落</w:t>
            </w:r>
          </w:p>
        </w:tc>
        <w:tc>
          <w:tcPr>
            <w:tcW w:w="1449" w:type="pct"/>
            <w:noWrap/>
            <w:vAlign w:val="center"/>
          </w:tcPr>
          <w:p w14:paraId="5D2E4AA8">
            <w:pPr>
              <w:pStyle w:val="128"/>
              <w:spacing w:before="93" w:after="93"/>
              <w:rPr>
                <w:color w:val="000000"/>
              </w:rPr>
            </w:pPr>
            <w:r>
              <w:rPr>
                <w:rFonts w:hint="eastAsia"/>
                <w:color w:val="000000"/>
              </w:rPr>
              <w:t>作业人员高处作业时必须将工具和拆除时的销轴放到工具袋中，较大的工具必须系保险绳</w:t>
            </w:r>
          </w:p>
        </w:tc>
        <w:tc>
          <w:tcPr>
            <w:tcW w:w="822" w:type="pct"/>
            <w:noWrap/>
            <w:vAlign w:val="center"/>
          </w:tcPr>
          <w:p w14:paraId="3D9F7015">
            <w:pPr>
              <w:pStyle w:val="128"/>
              <w:spacing w:before="93" w:after="93"/>
              <w:rPr>
                <w:color w:val="000000"/>
              </w:rPr>
            </w:pPr>
            <w:r>
              <w:rPr>
                <w:rFonts w:hint="eastAsia"/>
                <w:color w:val="000000"/>
              </w:rPr>
              <w:t>作业人员</w:t>
            </w:r>
          </w:p>
        </w:tc>
        <w:tc>
          <w:tcPr>
            <w:tcW w:w="854" w:type="pct"/>
            <w:noWrap/>
            <w:vAlign w:val="center"/>
          </w:tcPr>
          <w:p w14:paraId="0D1BC892">
            <w:pPr>
              <w:pStyle w:val="128"/>
              <w:spacing w:before="93" w:after="93"/>
              <w:rPr>
                <w:color w:val="000000"/>
              </w:rPr>
            </w:pPr>
          </w:p>
        </w:tc>
      </w:tr>
      <w:tr w14:paraId="0A279B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86" w:type="pct"/>
            <w:vMerge w:val="continue"/>
            <w:noWrap/>
            <w:vAlign w:val="center"/>
          </w:tcPr>
          <w:p w14:paraId="62CB1802">
            <w:pPr>
              <w:pStyle w:val="128"/>
              <w:spacing w:before="93" w:after="93"/>
              <w:rPr>
                <w:color w:val="000000"/>
              </w:rPr>
            </w:pPr>
          </w:p>
        </w:tc>
        <w:tc>
          <w:tcPr>
            <w:tcW w:w="411" w:type="pct"/>
            <w:vMerge w:val="continue"/>
            <w:noWrap/>
            <w:vAlign w:val="center"/>
          </w:tcPr>
          <w:p w14:paraId="51EB35F8">
            <w:pPr>
              <w:pStyle w:val="128"/>
              <w:spacing w:before="93" w:after="93"/>
              <w:rPr>
                <w:color w:val="000000"/>
              </w:rPr>
            </w:pPr>
          </w:p>
        </w:tc>
        <w:tc>
          <w:tcPr>
            <w:tcW w:w="1175" w:type="pct"/>
            <w:noWrap/>
            <w:vAlign w:val="center"/>
          </w:tcPr>
          <w:p w14:paraId="3AE645FD">
            <w:pPr>
              <w:pStyle w:val="128"/>
              <w:spacing w:before="93" w:after="93"/>
              <w:rPr>
                <w:color w:val="000000"/>
              </w:rPr>
            </w:pPr>
            <w:r>
              <w:rPr>
                <w:rFonts w:hint="eastAsia"/>
                <w:color w:val="000000"/>
              </w:rPr>
              <w:t>保险绳断开、工具袋撕裂造成工具和销轴从高处坠落</w:t>
            </w:r>
          </w:p>
        </w:tc>
        <w:tc>
          <w:tcPr>
            <w:tcW w:w="1449" w:type="pct"/>
            <w:noWrap/>
            <w:vAlign w:val="center"/>
          </w:tcPr>
          <w:p w14:paraId="04622EFA">
            <w:pPr>
              <w:pStyle w:val="128"/>
              <w:spacing w:before="93" w:after="93"/>
              <w:rPr>
                <w:color w:val="000000"/>
              </w:rPr>
            </w:pPr>
            <w:r>
              <w:rPr>
                <w:rFonts w:hint="eastAsia"/>
                <w:color w:val="000000"/>
              </w:rPr>
              <w:t>检查保险绳和工具袋应无损伤，拆除时的销轴应及时拆除</w:t>
            </w:r>
          </w:p>
        </w:tc>
        <w:tc>
          <w:tcPr>
            <w:tcW w:w="822" w:type="pct"/>
            <w:noWrap/>
            <w:vAlign w:val="center"/>
          </w:tcPr>
          <w:p w14:paraId="65F866D5">
            <w:pPr>
              <w:pStyle w:val="128"/>
              <w:spacing w:before="93" w:after="93"/>
              <w:rPr>
                <w:color w:val="000000"/>
              </w:rPr>
            </w:pPr>
            <w:r>
              <w:rPr>
                <w:rFonts w:hint="eastAsia"/>
                <w:color w:val="000000"/>
              </w:rPr>
              <w:t>班长</w:t>
            </w:r>
          </w:p>
          <w:p w14:paraId="072E1B5F">
            <w:pPr>
              <w:pStyle w:val="128"/>
              <w:spacing w:before="93" w:after="93"/>
              <w:rPr>
                <w:color w:val="000000"/>
              </w:rPr>
            </w:pPr>
            <w:r>
              <w:rPr>
                <w:rFonts w:hint="eastAsia"/>
                <w:color w:val="000000"/>
              </w:rPr>
              <w:t>作业人员</w:t>
            </w:r>
          </w:p>
        </w:tc>
        <w:tc>
          <w:tcPr>
            <w:tcW w:w="854" w:type="pct"/>
            <w:noWrap/>
            <w:vAlign w:val="center"/>
          </w:tcPr>
          <w:p w14:paraId="068091E9">
            <w:pPr>
              <w:pStyle w:val="128"/>
              <w:spacing w:before="93" w:after="93"/>
              <w:rPr>
                <w:color w:val="000000"/>
              </w:rPr>
            </w:pPr>
          </w:p>
        </w:tc>
      </w:tr>
      <w:tr w14:paraId="7E7984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86" w:type="pct"/>
            <w:vMerge w:val="continue"/>
            <w:noWrap/>
            <w:vAlign w:val="center"/>
          </w:tcPr>
          <w:p w14:paraId="53F9A615">
            <w:pPr>
              <w:pStyle w:val="128"/>
              <w:spacing w:before="93" w:after="93"/>
              <w:rPr>
                <w:color w:val="000000"/>
              </w:rPr>
            </w:pPr>
          </w:p>
        </w:tc>
        <w:tc>
          <w:tcPr>
            <w:tcW w:w="411" w:type="pct"/>
            <w:vMerge w:val="continue"/>
            <w:noWrap/>
            <w:vAlign w:val="center"/>
          </w:tcPr>
          <w:p w14:paraId="27D3BBAC">
            <w:pPr>
              <w:pStyle w:val="128"/>
              <w:spacing w:before="93" w:after="93"/>
              <w:rPr>
                <w:color w:val="000000"/>
              </w:rPr>
            </w:pPr>
          </w:p>
        </w:tc>
        <w:tc>
          <w:tcPr>
            <w:tcW w:w="1175" w:type="pct"/>
            <w:noWrap/>
            <w:vAlign w:val="center"/>
          </w:tcPr>
          <w:p w14:paraId="06148F63">
            <w:pPr>
              <w:pStyle w:val="128"/>
              <w:spacing w:before="93" w:after="93"/>
              <w:rPr>
                <w:color w:val="000000"/>
              </w:rPr>
            </w:pPr>
            <w:r>
              <w:rPr>
                <w:rFonts w:hint="eastAsia"/>
                <w:color w:val="000000"/>
              </w:rPr>
              <w:t>被吊物件捆绑不可靠造成物件坠落</w:t>
            </w:r>
          </w:p>
        </w:tc>
        <w:tc>
          <w:tcPr>
            <w:tcW w:w="1449" w:type="pct"/>
            <w:noWrap/>
            <w:vAlign w:val="center"/>
          </w:tcPr>
          <w:p w14:paraId="453F3F35">
            <w:pPr>
              <w:pStyle w:val="128"/>
              <w:spacing w:before="93" w:after="93"/>
              <w:rPr>
                <w:color w:val="000000"/>
              </w:rPr>
            </w:pPr>
            <w:r>
              <w:rPr>
                <w:rFonts w:hint="eastAsia"/>
                <w:color w:val="000000"/>
              </w:rPr>
              <w:t>由专人操作，起吊前要认真检查捆绑情况</w:t>
            </w:r>
          </w:p>
        </w:tc>
        <w:tc>
          <w:tcPr>
            <w:tcW w:w="822" w:type="pct"/>
            <w:noWrap/>
            <w:vAlign w:val="center"/>
          </w:tcPr>
          <w:p w14:paraId="175A05D2">
            <w:pPr>
              <w:pStyle w:val="128"/>
              <w:spacing w:before="93" w:after="93"/>
              <w:rPr>
                <w:color w:val="000000"/>
              </w:rPr>
            </w:pPr>
            <w:r>
              <w:rPr>
                <w:rFonts w:hint="eastAsia"/>
                <w:color w:val="000000"/>
              </w:rPr>
              <w:t>班长</w:t>
            </w:r>
          </w:p>
          <w:p w14:paraId="79C63AA5">
            <w:pPr>
              <w:pStyle w:val="128"/>
              <w:spacing w:before="93" w:after="93"/>
              <w:rPr>
                <w:color w:val="000000"/>
              </w:rPr>
            </w:pPr>
            <w:r>
              <w:rPr>
                <w:rFonts w:hint="eastAsia"/>
                <w:color w:val="000000"/>
              </w:rPr>
              <w:t>作业人员</w:t>
            </w:r>
          </w:p>
        </w:tc>
        <w:tc>
          <w:tcPr>
            <w:tcW w:w="854" w:type="pct"/>
            <w:noWrap/>
            <w:vAlign w:val="center"/>
          </w:tcPr>
          <w:p w14:paraId="29F81428">
            <w:pPr>
              <w:pStyle w:val="128"/>
              <w:spacing w:before="93" w:after="93"/>
              <w:rPr>
                <w:color w:val="000000"/>
              </w:rPr>
            </w:pPr>
          </w:p>
        </w:tc>
      </w:tr>
      <w:tr w14:paraId="61B7BD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286" w:type="pct"/>
            <w:noWrap/>
            <w:vAlign w:val="center"/>
          </w:tcPr>
          <w:p w14:paraId="4F3449B7">
            <w:pPr>
              <w:pStyle w:val="128"/>
              <w:spacing w:before="93" w:after="93"/>
              <w:rPr>
                <w:color w:val="000000"/>
              </w:rPr>
            </w:pPr>
            <w:r>
              <w:rPr>
                <w:rFonts w:hint="eastAsia"/>
                <w:color w:val="000000"/>
              </w:rPr>
              <w:t>3</w:t>
            </w:r>
          </w:p>
        </w:tc>
        <w:tc>
          <w:tcPr>
            <w:tcW w:w="411" w:type="pct"/>
            <w:noWrap/>
            <w:vAlign w:val="center"/>
          </w:tcPr>
          <w:p w14:paraId="5B925D95">
            <w:pPr>
              <w:pStyle w:val="128"/>
              <w:spacing w:before="93" w:after="93"/>
              <w:rPr>
                <w:color w:val="000000"/>
              </w:rPr>
            </w:pPr>
            <w:r>
              <w:rPr>
                <w:rFonts w:hint="eastAsia"/>
                <w:color w:val="000000"/>
              </w:rPr>
              <w:t>物体打击</w:t>
            </w:r>
          </w:p>
        </w:tc>
        <w:tc>
          <w:tcPr>
            <w:tcW w:w="1175" w:type="pct"/>
            <w:noWrap/>
            <w:vAlign w:val="center"/>
          </w:tcPr>
          <w:p w14:paraId="0F1E06B5">
            <w:pPr>
              <w:pStyle w:val="128"/>
              <w:spacing w:before="93" w:after="93"/>
              <w:rPr>
                <w:color w:val="000000"/>
              </w:rPr>
            </w:pPr>
            <w:r>
              <w:rPr>
                <w:rFonts w:hint="eastAsia"/>
                <w:color w:val="000000"/>
              </w:rPr>
              <w:t>高空落物造成地面人员和无关人员的伤害</w:t>
            </w:r>
          </w:p>
        </w:tc>
        <w:tc>
          <w:tcPr>
            <w:tcW w:w="1449" w:type="pct"/>
            <w:noWrap/>
            <w:vAlign w:val="center"/>
          </w:tcPr>
          <w:p w14:paraId="779A9993">
            <w:pPr>
              <w:pStyle w:val="128"/>
              <w:spacing w:before="93" w:after="93"/>
              <w:rPr>
                <w:color w:val="000000"/>
              </w:rPr>
            </w:pPr>
            <w:r>
              <w:rPr>
                <w:rFonts w:hint="eastAsia"/>
                <w:color w:val="000000"/>
              </w:rPr>
              <w:t>设拆除警戒区，地面作业人员要避开塔吊下方并注意塔吊上的作业情况，无关人员严禁进入警戒区</w:t>
            </w:r>
          </w:p>
        </w:tc>
        <w:tc>
          <w:tcPr>
            <w:tcW w:w="822" w:type="pct"/>
            <w:noWrap/>
            <w:vAlign w:val="center"/>
          </w:tcPr>
          <w:p w14:paraId="4EA56978">
            <w:pPr>
              <w:pStyle w:val="128"/>
              <w:spacing w:before="93" w:after="93"/>
              <w:rPr>
                <w:color w:val="000000"/>
              </w:rPr>
            </w:pPr>
            <w:r>
              <w:rPr>
                <w:rFonts w:hint="eastAsia"/>
                <w:color w:val="000000"/>
              </w:rPr>
              <w:t>专责安全员</w:t>
            </w:r>
          </w:p>
          <w:p w14:paraId="5FE85BE5">
            <w:pPr>
              <w:pStyle w:val="128"/>
              <w:spacing w:before="93" w:after="93"/>
              <w:rPr>
                <w:color w:val="000000"/>
              </w:rPr>
            </w:pPr>
            <w:r>
              <w:rPr>
                <w:rFonts w:hint="eastAsia"/>
                <w:color w:val="000000"/>
              </w:rPr>
              <w:t>班长</w:t>
            </w:r>
          </w:p>
        </w:tc>
        <w:tc>
          <w:tcPr>
            <w:tcW w:w="854" w:type="pct"/>
            <w:noWrap/>
            <w:vAlign w:val="center"/>
          </w:tcPr>
          <w:p w14:paraId="6009F759">
            <w:pPr>
              <w:pStyle w:val="128"/>
              <w:spacing w:before="93" w:after="93"/>
              <w:rPr>
                <w:color w:val="000000"/>
              </w:rPr>
            </w:pPr>
          </w:p>
        </w:tc>
      </w:tr>
      <w:tr w14:paraId="0E41FC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86" w:type="pct"/>
            <w:vMerge w:val="restart"/>
            <w:noWrap/>
            <w:vAlign w:val="center"/>
          </w:tcPr>
          <w:p w14:paraId="58C07D9C">
            <w:pPr>
              <w:pStyle w:val="128"/>
              <w:spacing w:before="93" w:after="93"/>
              <w:rPr>
                <w:color w:val="000000"/>
              </w:rPr>
            </w:pPr>
            <w:r>
              <w:rPr>
                <w:rFonts w:hint="eastAsia"/>
                <w:color w:val="000000"/>
              </w:rPr>
              <w:t>4</w:t>
            </w:r>
          </w:p>
        </w:tc>
        <w:tc>
          <w:tcPr>
            <w:tcW w:w="411" w:type="pct"/>
            <w:vMerge w:val="restart"/>
            <w:noWrap/>
            <w:vAlign w:val="center"/>
          </w:tcPr>
          <w:p w14:paraId="6F66D115">
            <w:pPr>
              <w:pStyle w:val="128"/>
              <w:spacing w:before="93" w:after="93"/>
              <w:rPr>
                <w:color w:val="000000"/>
              </w:rPr>
            </w:pPr>
            <w:r>
              <w:rPr>
                <w:rFonts w:hint="eastAsia"/>
                <w:color w:val="000000"/>
              </w:rPr>
              <w:t>起重事故</w:t>
            </w:r>
          </w:p>
        </w:tc>
        <w:tc>
          <w:tcPr>
            <w:tcW w:w="1175" w:type="pct"/>
            <w:noWrap/>
            <w:vAlign w:val="center"/>
          </w:tcPr>
          <w:p w14:paraId="27683F0E">
            <w:pPr>
              <w:pStyle w:val="128"/>
              <w:spacing w:before="93" w:after="93"/>
              <w:rPr>
                <w:color w:val="000000"/>
              </w:rPr>
            </w:pPr>
            <w:r>
              <w:rPr>
                <w:rFonts w:hint="eastAsia"/>
                <w:color w:val="000000"/>
              </w:rPr>
              <w:t>起重机倾覆</w:t>
            </w:r>
          </w:p>
        </w:tc>
        <w:tc>
          <w:tcPr>
            <w:tcW w:w="1449" w:type="pct"/>
            <w:noWrap/>
            <w:vAlign w:val="center"/>
          </w:tcPr>
          <w:p w14:paraId="36DE0EE3">
            <w:pPr>
              <w:pStyle w:val="128"/>
              <w:spacing w:before="93" w:after="93"/>
              <w:rPr>
                <w:color w:val="000000"/>
              </w:rPr>
            </w:pPr>
            <w:r>
              <w:rPr>
                <w:rFonts w:hint="eastAsia"/>
                <w:color w:val="000000"/>
              </w:rPr>
              <w:t>控制起重负荷，严禁歪拉斜吊</w:t>
            </w:r>
          </w:p>
        </w:tc>
        <w:tc>
          <w:tcPr>
            <w:tcW w:w="822" w:type="pct"/>
            <w:noWrap/>
            <w:vAlign w:val="center"/>
          </w:tcPr>
          <w:p w14:paraId="31146169">
            <w:pPr>
              <w:pStyle w:val="128"/>
              <w:spacing w:before="93" w:after="93"/>
              <w:rPr>
                <w:color w:val="000000"/>
              </w:rPr>
            </w:pPr>
            <w:r>
              <w:rPr>
                <w:rFonts w:hint="eastAsia"/>
                <w:color w:val="000000"/>
              </w:rPr>
              <w:t>班长</w:t>
            </w:r>
          </w:p>
          <w:p w14:paraId="1ACA9BC7">
            <w:pPr>
              <w:pStyle w:val="128"/>
              <w:spacing w:before="93" w:after="93"/>
              <w:rPr>
                <w:color w:val="000000"/>
              </w:rPr>
            </w:pPr>
            <w:r>
              <w:rPr>
                <w:rFonts w:hint="eastAsia"/>
                <w:color w:val="000000"/>
              </w:rPr>
              <w:t>起重机司机</w:t>
            </w:r>
          </w:p>
          <w:p w14:paraId="5E899077">
            <w:pPr>
              <w:pStyle w:val="128"/>
              <w:spacing w:before="93" w:after="93"/>
              <w:rPr>
                <w:color w:val="000000"/>
              </w:rPr>
            </w:pPr>
            <w:r>
              <w:rPr>
                <w:rFonts w:hint="eastAsia"/>
                <w:color w:val="000000"/>
              </w:rPr>
              <w:t>起重工</w:t>
            </w:r>
          </w:p>
        </w:tc>
        <w:tc>
          <w:tcPr>
            <w:tcW w:w="854" w:type="pct"/>
            <w:noWrap/>
            <w:vAlign w:val="center"/>
          </w:tcPr>
          <w:p w14:paraId="618460BD">
            <w:pPr>
              <w:pStyle w:val="128"/>
              <w:spacing w:before="93" w:after="93"/>
              <w:rPr>
                <w:color w:val="000000"/>
              </w:rPr>
            </w:pPr>
          </w:p>
        </w:tc>
      </w:tr>
      <w:tr w14:paraId="0C9C16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86" w:type="pct"/>
            <w:vMerge w:val="continue"/>
            <w:noWrap/>
            <w:vAlign w:val="center"/>
          </w:tcPr>
          <w:p w14:paraId="478ACE7D">
            <w:pPr>
              <w:pStyle w:val="128"/>
              <w:spacing w:before="93" w:after="93"/>
              <w:rPr>
                <w:color w:val="000000"/>
              </w:rPr>
            </w:pPr>
          </w:p>
        </w:tc>
        <w:tc>
          <w:tcPr>
            <w:tcW w:w="411" w:type="pct"/>
            <w:vMerge w:val="continue"/>
            <w:noWrap/>
            <w:vAlign w:val="center"/>
          </w:tcPr>
          <w:p w14:paraId="1377F80C">
            <w:pPr>
              <w:pStyle w:val="128"/>
              <w:spacing w:before="93" w:after="93"/>
              <w:rPr>
                <w:color w:val="000000"/>
              </w:rPr>
            </w:pPr>
          </w:p>
        </w:tc>
        <w:tc>
          <w:tcPr>
            <w:tcW w:w="1175" w:type="pct"/>
            <w:noWrap/>
            <w:vAlign w:val="center"/>
          </w:tcPr>
          <w:p w14:paraId="1734C419">
            <w:pPr>
              <w:pStyle w:val="128"/>
              <w:spacing w:before="93" w:after="93"/>
              <w:rPr>
                <w:color w:val="000000"/>
              </w:rPr>
            </w:pPr>
            <w:r>
              <w:rPr>
                <w:rFonts w:hint="eastAsia"/>
                <w:color w:val="000000"/>
              </w:rPr>
              <w:t>被吊物脱落</w:t>
            </w:r>
          </w:p>
        </w:tc>
        <w:tc>
          <w:tcPr>
            <w:tcW w:w="1449" w:type="pct"/>
            <w:noWrap/>
            <w:vAlign w:val="center"/>
          </w:tcPr>
          <w:p w14:paraId="4FF51638">
            <w:pPr>
              <w:pStyle w:val="128"/>
              <w:spacing w:before="93" w:after="93"/>
              <w:rPr>
                <w:color w:val="000000"/>
              </w:rPr>
            </w:pPr>
            <w:r>
              <w:rPr>
                <w:rFonts w:hint="eastAsia"/>
                <w:color w:val="000000"/>
              </w:rPr>
              <w:t>专人捆绑，专人检查</w:t>
            </w:r>
          </w:p>
        </w:tc>
        <w:tc>
          <w:tcPr>
            <w:tcW w:w="822" w:type="pct"/>
            <w:noWrap/>
            <w:vAlign w:val="center"/>
          </w:tcPr>
          <w:p w14:paraId="55E31B62">
            <w:pPr>
              <w:pStyle w:val="128"/>
              <w:spacing w:before="93" w:after="93"/>
              <w:rPr>
                <w:color w:val="000000"/>
              </w:rPr>
            </w:pPr>
            <w:r>
              <w:rPr>
                <w:rFonts w:hint="eastAsia"/>
                <w:color w:val="000000"/>
              </w:rPr>
              <w:t>起重工</w:t>
            </w:r>
          </w:p>
        </w:tc>
        <w:tc>
          <w:tcPr>
            <w:tcW w:w="854" w:type="pct"/>
            <w:noWrap/>
            <w:vAlign w:val="center"/>
          </w:tcPr>
          <w:p w14:paraId="02067A89">
            <w:pPr>
              <w:pStyle w:val="128"/>
              <w:spacing w:before="93" w:after="93"/>
              <w:rPr>
                <w:color w:val="000000"/>
              </w:rPr>
            </w:pPr>
          </w:p>
        </w:tc>
      </w:tr>
      <w:tr w14:paraId="0605B3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86" w:type="pct"/>
            <w:vMerge w:val="continue"/>
            <w:noWrap/>
            <w:vAlign w:val="center"/>
          </w:tcPr>
          <w:p w14:paraId="42391F79">
            <w:pPr>
              <w:pStyle w:val="128"/>
              <w:spacing w:before="93" w:after="93"/>
              <w:rPr>
                <w:color w:val="000000"/>
              </w:rPr>
            </w:pPr>
          </w:p>
        </w:tc>
        <w:tc>
          <w:tcPr>
            <w:tcW w:w="411" w:type="pct"/>
            <w:vMerge w:val="continue"/>
            <w:noWrap/>
            <w:vAlign w:val="center"/>
          </w:tcPr>
          <w:p w14:paraId="73AFF4EF">
            <w:pPr>
              <w:pStyle w:val="128"/>
              <w:spacing w:before="93" w:after="93"/>
              <w:rPr>
                <w:color w:val="000000"/>
              </w:rPr>
            </w:pPr>
          </w:p>
        </w:tc>
        <w:tc>
          <w:tcPr>
            <w:tcW w:w="1175" w:type="pct"/>
            <w:noWrap/>
            <w:vAlign w:val="center"/>
          </w:tcPr>
          <w:p w14:paraId="5CCB8E97">
            <w:pPr>
              <w:pStyle w:val="128"/>
              <w:spacing w:before="93" w:after="93"/>
              <w:rPr>
                <w:color w:val="000000"/>
              </w:rPr>
            </w:pPr>
            <w:r>
              <w:rPr>
                <w:rFonts w:hint="eastAsia"/>
                <w:color w:val="000000"/>
              </w:rPr>
              <w:t>钢丝绳断开</w:t>
            </w:r>
          </w:p>
        </w:tc>
        <w:tc>
          <w:tcPr>
            <w:tcW w:w="1449" w:type="pct"/>
            <w:noWrap/>
            <w:vAlign w:val="center"/>
          </w:tcPr>
          <w:p w14:paraId="43B5DB5A">
            <w:pPr>
              <w:pStyle w:val="128"/>
              <w:spacing w:before="93" w:after="93"/>
              <w:rPr>
                <w:color w:val="000000"/>
              </w:rPr>
            </w:pPr>
            <w:r>
              <w:rPr>
                <w:rFonts w:hint="eastAsia"/>
                <w:color w:val="000000"/>
              </w:rPr>
              <w:t>保证钢丝绳安全系数，检查钢丝绳应无损伤</w:t>
            </w:r>
          </w:p>
        </w:tc>
        <w:tc>
          <w:tcPr>
            <w:tcW w:w="822" w:type="pct"/>
            <w:noWrap/>
            <w:vAlign w:val="center"/>
          </w:tcPr>
          <w:p w14:paraId="63CC1B14">
            <w:pPr>
              <w:pStyle w:val="128"/>
              <w:spacing w:before="93" w:after="93"/>
              <w:rPr>
                <w:color w:val="000000"/>
              </w:rPr>
            </w:pPr>
            <w:r>
              <w:rPr>
                <w:rFonts w:hint="eastAsia"/>
                <w:color w:val="000000"/>
              </w:rPr>
              <w:t>班长</w:t>
            </w:r>
          </w:p>
          <w:p w14:paraId="3F6B8E0A">
            <w:pPr>
              <w:pStyle w:val="128"/>
              <w:spacing w:before="93" w:after="93"/>
              <w:rPr>
                <w:color w:val="000000"/>
              </w:rPr>
            </w:pPr>
            <w:r>
              <w:rPr>
                <w:rFonts w:hint="eastAsia"/>
                <w:color w:val="000000"/>
              </w:rPr>
              <w:t>起重工</w:t>
            </w:r>
          </w:p>
        </w:tc>
        <w:tc>
          <w:tcPr>
            <w:tcW w:w="854" w:type="pct"/>
            <w:noWrap/>
            <w:vAlign w:val="center"/>
          </w:tcPr>
          <w:p w14:paraId="7608203B">
            <w:pPr>
              <w:pStyle w:val="128"/>
              <w:spacing w:before="93" w:after="93"/>
              <w:rPr>
                <w:color w:val="000000"/>
              </w:rPr>
            </w:pPr>
          </w:p>
        </w:tc>
      </w:tr>
      <w:tr w14:paraId="7B06C5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86" w:type="pct"/>
            <w:vMerge w:val="continue"/>
            <w:noWrap/>
            <w:vAlign w:val="center"/>
          </w:tcPr>
          <w:p w14:paraId="7DD6C9E4">
            <w:pPr>
              <w:pStyle w:val="128"/>
              <w:spacing w:before="93" w:after="93"/>
              <w:rPr>
                <w:color w:val="000000"/>
              </w:rPr>
            </w:pPr>
          </w:p>
        </w:tc>
        <w:tc>
          <w:tcPr>
            <w:tcW w:w="411" w:type="pct"/>
            <w:vMerge w:val="continue"/>
            <w:noWrap/>
            <w:vAlign w:val="center"/>
          </w:tcPr>
          <w:p w14:paraId="3441AD56">
            <w:pPr>
              <w:pStyle w:val="128"/>
              <w:spacing w:before="93" w:after="93"/>
              <w:rPr>
                <w:color w:val="000000"/>
              </w:rPr>
            </w:pPr>
          </w:p>
        </w:tc>
        <w:tc>
          <w:tcPr>
            <w:tcW w:w="1175" w:type="pct"/>
            <w:noWrap/>
            <w:vAlign w:val="center"/>
          </w:tcPr>
          <w:p w14:paraId="02C7415C">
            <w:pPr>
              <w:pStyle w:val="128"/>
              <w:spacing w:before="93" w:after="93"/>
              <w:rPr>
                <w:color w:val="000000"/>
              </w:rPr>
            </w:pPr>
            <w:r>
              <w:rPr>
                <w:rFonts w:hint="eastAsia"/>
                <w:color w:val="000000"/>
              </w:rPr>
              <w:t>重物挤压碰撞</w:t>
            </w:r>
          </w:p>
        </w:tc>
        <w:tc>
          <w:tcPr>
            <w:tcW w:w="1449" w:type="pct"/>
            <w:noWrap/>
            <w:vAlign w:val="center"/>
          </w:tcPr>
          <w:p w14:paraId="14C453AC">
            <w:pPr>
              <w:pStyle w:val="128"/>
              <w:spacing w:before="93" w:after="93"/>
              <w:rPr>
                <w:color w:val="000000"/>
              </w:rPr>
            </w:pPr>
            <w:r>
              <w:rPr>
                <w:rFonts w:hint="eastAsia"/>
                <w:color w:val="000000"/>
              </w:rPr>
              <w:t>操作人员不得站在物体运动的前方和死角，操作司机要听专人指挥、操作稳妥。</w:t>
            </w:r>
          </w:p>
        </w:tc>
        <w:tc>
          <w:tcPr>
            <w:tcW w:w="822" w:type="pct"/>
            <w:noWrap/>
            <w:vAlign w:val="center"/>
          </w:tcPr>
          <w:p w14:paraId="26E87EBB">
            <w:pPr>
              <w:pStyle w:val="128"/>
              <w:spacing w:before="93" w:after="93"/>
              <w:rPr>
                <w:color w:val="000000"/>
              </w:rPr>
            </w:pPr>
            <w:r>
              <w:rPr>
                <w:rFonts w:hint="eastAsia"/>
                <w:color w:val="000000"/>
              </w:rPr>
              <w:t>作业人员</w:t>
            </w:r>
          </w:p>
          <w:p w14:paraId="219B6130">
            <w:pPr>
              <w:pStyle w:val="128"/>
              <w:spacing w:before="93" w:after="93"/>
              <w:rPr>
                <w:color w:val="000000"/>
              </w:rPr>
            </w:pPr>
            <w:r>
              <w:rPr>
                <w:rFonts w:hint="eastAsia"/>
                <w:color w:val="000000"/>
              </w:rPr>
              <w:t>起重工</w:t>
            </w:r>
          </w:p>
          <w:p w14:paraId="5DF52883">
            <w:pPr>
              <w:pStyle w:val="128"/>
              <w:spacing w:before="93" w:after="93"/>
              <w:rPr>
                <w:color w:val="000000"/>
              </w:rPr>
            </w:pPr>
            <w:r>
              <w:rPr>
                <w:rFonts w:hint="eastAsia"/>
                <w:color w:val="000000"/>
              </w:rPr>
              <w:t>起重司机</w:t>
            </w:r>
          </w:p>
        </w:tc>
        <w:tc>
          <w:tcPr>
            <w:tcW w:w="854" w:type="pct"/>
            <w:noWrap/>
            <w:vAlign w:val="center"/>
          </w:tcPr>
          <w:p w14:paraId="45754936">
            <w:pPr>
              <w:pStyle w:val="128"/>
              <w:spacing w:before="93" w:after="93"/>
              <w:rPr>
                <w:color w:val="000000"/>
              </w:rPr>
            </w:pPr>
          </w:p>
        </w:tc>
      </w:tr>
      <w:tr w14:paraId="4A6666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22" w:hRule="atLeast"/>
        </w:trPr>
        <w:tc>
          <w:tcPr>
            <w:tcW w:w="286" w:type="pct"/>
            <w:noWrap/>
            <w:vAlign w:val="center"/>
          </w:tcPr>
          <w:p w14:paraId="48F4CC27">
            <w:pPr>
              <w:pStyle w:val="128"/>
              <w:spacing w:before="93" w:after="93"/>
              <w:rPr>
                <w:color w:val="000000"/>
              </w:rPr>
            </w:pPr>
            <w:r>
              <w:rPr>
                <w:rFonts w:hint="eastAsia"/>
                <w:color w:val="000000"/>
              </w:rPr>
              <w:t>5</w:t>
            </w:r>
          </w:p>
        </w:tc>
        <w:tc>
          <w:tcPr>
            <w:tcW w:w="411" w:type="pct"/>
            <w:noWrap/>
            <w:vAlign w:val="center"/>
          </w:tcPr>
          <w:p w14:paraId="2F69E2CB">
            <w:pPr>
              <w:pStyle w:val="128"/>
              <w:spacing w:before="93" w:after="93"/>
              <w:rPr>
                <w:color w:val="000000"/>
              </w:rPr>
            </w:pPr>
            <w:r>
              <w:rPr>
                <w:rFonts w:hint="eastAsia"/>
                <w:color w:val="000000"/>
              </w:rPr>
              <w:t>塔吊倒塌</w:t>
            </w:r>
          </w:p>
        </w:tc>
        <w:tc>
          <w:tcPr>
            <w:tcW w:w="1175" w:type="pct"/>
            <w:noWrap/>
            <w:vAlign w:val="center"/>
          </w:tcPr>
          <w:p w14:paraId="5E563DAB">
            <w:pPr>
              <w:pStyle w:val="128"/>
              <w:spacing w:before="93" w:after="93"/>
              <w:rPr>
                <w:color w:val="000000"/>
              </w:rPr>
            </w:pPr>
            <w:r>
              <w:rPr>
                <w:rFonts w:hint="eastAsia"/>
                <w:color w:val="000000"/>
              </w:rPr>
              <w:t>塔吊在拆除过程中倾覆或垮塌</w:t>
            </w:r>
          </w:p>
        </w:tc>
        <w:tc>
          <w:tcPr>
            <w:tcW w:w="1449" w:type="pct"/>
            <w:noWrap/>
            <w:vAlign w:val="center"/>
          </w:tcPr>
          <w:p w14:paraId="0B421689">
            <w:pPr>
              <w:pStyle w:val="128"/>
              <w:spacing w:before="93" w:after="93"/>
              <w:rPr>
                <w:color w:val="000000"/>
              </w:rPr>
            </w:pPr>
            <w:r>
              <w:rPr>
                <w:rFonts w:hint="eastAsia"/>
                <w:color w:val="000000"/>
              </w:rPr>
              <w:t>严格按照拆除作业措施进行施工，严密监视气象条件</w:t>
            </w:r>
          </w:p>
        </w:tc>
        <w:tc>
          <w:tcPr>
            <w:tcW w:w="822" w:type="pct"/>
            <w:noWrap/>
            <w:vAlign w:val="center"/>
          </w:tcPr>
          <w:p w14:paraId="299C6DA7">
            <w:pPr>
              <w:pStyle w:val="128"/>
              <w:spacing w:before="93" w:after="93"/>
              <w:rPr>
                <w:color w:val="000000"/>
              </w:rPr>
            </w:pPr>
            <w:r>
              <w:rPr>
                <w:rFonts w:hint="eastAsia"/>
                <w:color w:val="000000"/>
              </w:rPr>
              <w:t>技术员</w:t>
            </w:r>
          </w:p>
          <w:p w14:paraId="080D34CD">
            <w:pPr>
              <w:pStyle w:val="128"/>
              <w:spacing w:before="93" w:after="93"/>
              <w:rPr>
                <w:color w:val="000000"/>
              </w:rPr>
            </w:pPr>
            <w:r>
              <w:rPr>
                <w:rFonts w:hint="eastAsia"/>
                <w:color w:val="000000"/>
              </w:rPr>
              <w:t>班长</w:t>
            </w:r>
          </w:p>
          <w:p w14:paraId="46F5708E">
            <w:pPr>
              <w:pStyle w:val="128"/>
              <w:spacing w:before="93" w:after="93"/>
              <w:rPr>
                <w:color w:val="000000"/>
              </w:rPr>
            </w:pPr>
            <w:r>
              <w:rPr>
                <w:rFonts w:hint="eastAsia"/>
                <w:color w:val="000000"/>
              </w:rPr>
              <w:t>作业人员</w:t>
            </w:r>
          </w:p>
        </w:tc>
        <w:tc>
          <w:tcPr>
            <w:tcW w:w="854" w:type="pct"/>
            <w:noWrap/>
            <w:vAlign w:val="center"/>
          </w:tcPr>
          <w:p w14:paraId="37065269">
            <w:pPr>
              <w:pStyle w:val="128"/>
              <w:spacing w:before="93" w:after="93"/>
              <w:rPr>
                <w:color w:val="000000"/>
              </w:rPr>
            </w:pPr>
          </w:p>
        </w:tc>
      </w:tr>
      <w:tr w14:paraId="66913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74" w:hRule="atLeast"/>
        </w:trPr>
        <w:tc>
          <w:tcPr>
            <w:tcW w:w="286" w:type="pct"/>
            <w:tcBorders>
              <w:bottom w:val="single" w:color="auto" w:sz="4" w:space="0"/>
            </w:tcBorders>
            <w:noWrap/>
            <w:vAlign w:val="center"/>
          </w:tcPr>
          <w:p w14:paraId="547DFD0A">
            <w:pPr>
              <w:pStyle w:val="128"/>
              <w:spacing w:before="93" w:after="93"/>
              <w:rPr>
                <w:color w:val="000000"/>
              </w:rPr>
            </w:pPr>
            <w:r>
              <w:rPr>
                <w:rFonts w:hint="eastAsia"/>
                <w:color w:val="000000"/>
              </w:rPr>
              <w:t>6</w:t>
            </w:r>
          </w:p>
        </w:tc>
        <w:tc>
          <w:tcPr>
            <w:tcW w:w="411" w:type="pct"/>
            <w:tcBorders>
              <w:bottom w:val="single" w:color="auto" w:sz="4" w:space="0"/>
            </w:tcBorders>
            <w:noWrap/>
            <w:vAlign w:val="center"/>
          </w:tcPr>
          <w:p w14:paraId="2D280283">
            <w:pPr>
              <w:pStyle w:val="128"/>
              <w:spacing w:before="93" w:after="93"/>
              <w:rPr>
                <w:color w:val="000000"/>
              </w:rPr>
            </w:pPr>
            <w:r>
              <w:rPr>
                <w:rFonts w:hint="eastAsia"/>
                <w:color w:val="000000"/>
              </w:rPr>
              <w:t>交通事故</w:t>
            </w:r>
          </w:p>
        </w:tc>
        <w:tc>
          <w:tcPr>
            <w:tcW w:w="1175" w:type="pct"/>
            <w:tcBorders>
              <w:bottom w:val="single" w:color="auto" w:sz="4" w:space="0"/>
            </w:tcBorders>
            <w:noWrap/>
            <w:vAlign w:val="center"/>
          </w:tcPr>
          <w:p w14:paraId="7F905F47">
            <w:pPr>
              <w:pStyle w:val="128"/>
              <w:spacing w:before="93" w:after="93"/>
              <w:rPr>
                <w:color w:val="000000"/>
              </w:rPr>
            </w:pPr>
            <w:r>
              <w:rPr>
                <w:rFonts w:hint="eastAsia"/>
                <w:color w:val="000000"/>
              </w:rPr>
              <w:t>运输车辆造成人员伤害，损坏设备</w:t>
            </w:r>
          </w:p>
        </w:tc>
        <w:tc>
          <w:tcPr>
            <w:tcW w:w="1449" w:type="pct"/>
            <w:tcBorders>
              <w:bottom w:val="single" w:color="auto" w:sz="4" w:space="0"/>
            </w:tcBorders>
            <w:noWrap/>
            <w:vAlign w:val="center"/>
          </w:tcPr>
          <w:p w14:paraId="5BA73A16">
            <w:pPr>
              <w:pStyle w:val="128"/>
              <w:spacing w:before="93" w:after="93"/>
              <w:rPr>
                <w:color w:val="000000"/>
              </w:rPr>
            </w:pPr>
            <w:r>
              <w:rPr>
                <w:rFonts w:hint="eastAsia"/>
                <w:color w:val="000000"/>
              </w:rPr>
              <w:t>装车平稳，支点可靠，精心操作，控制车速</w:t>
            </w:r>
          </w:p>
        </w:tc>
        <w:tc>
          <w:tcPr>
            <w:tcW w:w="822" w:type="pct"/>
            <w:tcBorders>
              <w:bottom w:val="single" w:color="auto" w:sz="4" w:space="0"/>
            </w:tcBorders>
            <w:noWrap/>
            <w:vAlign w:val="center"/>
          </w:tcPr>
          <w:p w14:paraId="3A8C441B">
            <w:pPr>
              <w:pStyle w:val="128"/>
              <w:spacing w:before="93" w:after="93"/>
              <w:rPr>
                <w:color w:val="000000"/>
              </w:rPr>
            </w:pPr>
            <w:r>
              <w:rPr>
                <w:rFonts w:hint="eastAsia"/>
                <w:color w:val="000000"/>
              </w:rPr>
              <w:t>起重工</w:t>
            </w:r>
          </w:p>
          <w:p w14:paraId="61F346BB">
            <w:pPr>
              <w:pStyle w:val="128"/>
              <w:spacing w:before="93" w:after="93"/>
              <w:rPr>
                <w:color w:val="000000"/>
              </w:rPr>
            </w:pPr>
            <w:r>
              <w:rPr>
                <w:rFonts w:hint="eastAsia"/>
                <w:color w:val="000000"/>
              </w:rPr>
              <w:t>司机</w:t>
            </w:r>
          </w:p>
        </w:tc>
        <w:tc>
          <w:tcPr>
            <w:tcW w:w="854" w:type="pct"/>
            <w:tcBorders>
              <w:bottom w:val="single" w:color="auto" w:sz="4" w:space="0"/>
            </w:tcBorders>
            <w:noWrap/>
            <w:vAlign w:val="center"/>
          </w:tcPr>
          <w:p w14:paraId="32C70B3F">
            <w:pPr>
              <w:pStyle w:val="128"/>
              <w:spacing w:before="93" w:after="93"/>
              <w:rPr>
                <w:color w:val="000000"/>
              </w:rPr>
            </w:pPr>
          </w:p>
        </w:tc>
      </w:tr>
      <w:tr w14:paraId="04CB7B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6" w:type="pct"/>
            <w:noWrap/>
            <w:vAlign w:val="center"/>
          </w:tcPr>
          <w:p w14:paraId="4C9EFBEE">
            <w:pPr>
              <w:pStyle w:val="128"/>
              <w:spacing w:before="93" w:after="93"/>
              <w:rPr>
                <w:color w:val="000000"/>
              </w:rPr>
            </w:pPr>
            <w:r>
              <w:rPr>
                <w:rFonts w:hint="eastAsia"/>
                <w:color w:val="000000"/>
              </w:rPr>
              <w:t>7</w:t>
            </w:r>
          </w:p>
        </w:tc>
        <w:tc>
          <w:tcPr>
            <w:tcW w:w="411" w:type="pct"/>
            <w:noWrap/>
            <w:vAlign w:val="center"/>
          </w:tcPr>
          <w:p w14:paraId="7F0F0860">
            <w:pPr>
              <w:pStyle w:val="128"/>
              <w:spacing w:before="93" w:after="93"/>
              <w:rPr>
                <w:color w:val="000000"/>
              </w:rPr>
            </w:pPr>
            <w:r>
              <w:rPr>
                <w:rFonts w:hint="eastAsia"/>
                <w:color w:val="000000"/>
              </w:rPr>
              <w:t>挤压碰撞</w:t>
            </w:r>
          </w:p>
        </w:tc>
        <w:tc>
          <w:tcPr>
            <w:tcW w:w="1175" w:type="pct"/>
            <w:noWrap/>
            <w:vAlign w:val="center"/>
          </w:tcPr>
          <w:p w14:paraId="0C9B0903">
            <w:pPr>
              <w:pStyle w:val="128"/>
              <w:spacing w:before="93" w:after="93"/>
              <w:rPr>
                <w:color w:val="000000"/>
              </w:rPr>
            </w:pPr>
            <w:r>
              <w:rPr>
                <w:rFonts w:hint="eastAsia"/>
                <w:color w:val="000000"/>
              </w:rPr>
              <w:t>在拆除作业过程中、在捆绑过程中，在运输装卸过程中、在吊放作业过程中等造成的人员挤压碰撞伤害</w:t>
            </w:r>
          </w:p>
        </w:tc>
        <w:tc>
          <w:tcPr>
            <w:tcW w:w="1449" w:type="pct"/>
            <w:noWrap/>
            <w:vAlign w:val="center"/>
          </w:tcPr>
          <w:p w14:paraId="36DE14D4">
            <w:pPr>
              <w:pStyle w:val="128"/>
              <w:spacing w:before="93" w:after="93"/>
              <w:rPr>
                <w:color w:val="000000"/>
              </w:rPr>
            </w:pPr>
            <w:r>
              <w:rPr>
                <w:rFonts w:hint="eastAsia"/>
                <w:color w:val="000000"/>
              </w:rPr>
              <w:t>注意力集中，精心操作，专人指挥，严禁违章指挥、违章作业</w:t>
            </w:r>
          </w:p>
        </w:tc>
        <w:tc>
          <w:tcPr>
            <w:tcW w:w="822" w:type="pct"/>
            <w:noWrap/>
            <w:vAlign w:val="center"/>
          </w:tcPr>
          <w:p w14:paraId="5F4512DD">
            <w:pPr>
              <w:pStyle w:val="128"/>
              <w:spacing w:before="93" w:after="93"/>
              <w:rPr>
                <w:color w:val="000000"/>
              </w:rPr>
            </w:pPr>
            <w:r>
              <w:rPr>
                <w:rFonts w:hint="eastAsia"/>
                <w:color w:val="000000"/>
              </w:rPr>
              <w:t>指挥人员</w:t>
            </w:r>
          </w:p>
          <w:p w14:paraId="5931D4F8">
            <w:pPr>
              <w:pStyle w:val="128"/>
              <w:spacing w:before="93" w:after="93"/>
              <w:rPr>
                <w:color w:val="000000"/>
              </w:rPr>
            </w:pPr>
            <w:r>
              <w:rPr>
                <w:rFonts w:hint="eastAsia"/>
                <w:color w:val="000000"/>
              </w:rPr>
              <w:t>操作人员</w:t>
            </w:r>
          </w:p>
          <w:p w14:paraId="6019EB45">
            <w:pPr>
              <w:pStyle w:val="128"/>
              <w:spacing w:before="93" w:after="93"/>
              <w:rPr>
                <w:color w:val="000000"/>
              </w:rPr>
            </w:pPr>
            <w:r>
              <w:rPr>
                <w:rFonts w:hint="eastAsia"/>
                <w:color w:val="000000"/>
              </w:rPr>
              <w:t>作业人员</w:t>
            </w:r>
          </w:p>
        </w:tc>
        <w:tc>
          <w:tcPr>
            <w:tcW w:w="854" w:type="pct"/>
            <w:noWrap/>
            <w:vAlign w:val="center"/>
          </w:tcPr>
          <w:p w14:paraId="1336EFE6">
            <w:pPr>
              <w:pStyle w:val="128"/>
              <w:spacing w:before="93" w:after="93"/>
              <w:rPr>
                <w:color w:val="000000"/>
              </w:rPr>
            </w:pPr>
          </w:p>
        </w:tc>
      </w:tr>
      <w:tr w14:paraId="52B0C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6" w:type="pct"/>
            <w:noWrap/>
            <w:vAlign w:val="center"/>
          </w:tcPr>
          <w:p w14:paraId="1CB2B17B">
            <w:pPr>
              <w:pStyle w:val="128"/>
              <w:spacing w:before="93" w:after="93"/>
              <w:rPr>
                <w:color w:val="000000"/>
              </w:rPr>
            </w:pPr>
            <w:r>
              <w:rPr>
                <w:rFonts w:hint="eastAsia"/>
                <w:color w:val="000000"/>
              </w:rPr>
              <w:t>8</w:t>
            </w:r>
          </w:p>
        </w:tc>
        <w:tc>
          <w:tcPr>
            <w:tcW w:w="411" w:type="pct"/>
            <w:noWrap/>
            <w:vAlign w:val="center"/>
          </w:tcPr>
          <w:p w14:paraId="57F682D9">
            <w:pPr>
              <w:pStyle w:val="128"/>
              <w:spacing w:before="93" w:after="93"/>
              <w:rPr>
                <w:color w:val="000000"/>
              </w:rPr>
            </w:pPr>
            <w:r>
              <w:rPr>
                <w:rFonts w:hint="eastAsia"/>
                <w:color w:val="000000"/>
              </w:rPr>
              <w:t>触碰高压线</w:t>
            </w:r>
          </w:p>
        </w:tc>
        <w:tc>
          <w:tcPr>
            <w:tcW w:w="1175" w:type="pct"/>
            <w:noWrap/>
            <w:vAlign w:val="center"/>
          </w:tcPr>
          <w:p w14:paraId="513A7D9C">
            <w:pPr>
              <w:pStyle w:val="128"/>
              <w:spacing w:before="93" w:after="93"/>
              <w:rPr>
                <w:color w:val="000000"/>
              </w:rPr>
            </w:pPr>
            <w:r>
              <w:rPr>
                <w:rFonts w:hint="eastAsia"/>
                <w:color w:val="000000"/>
              </w:rPr>
              <w:t xml:space="preserve">  在拆除过程中，汽车吊大臂、吊钩或吊物触碰高压线</w:t>
            </w:r>
          </w:p>
        </w:tc>
        <w:tc>
          <w:tcPr>
            <w:tcW w:w="1449" w:type="pct"/>
            <w:noWrap/>
            <w:vAlign w:val="center"/>
          </w:tcPr>
          <w:p w14:paraId="7409D125">
            <w:pPr>
              <w:pStyle w:val="128"/>
              <w:spacing w:before="93" w:after="93"/>
              <w:rPr>
                <w:color w:val="000000"/>
              </w:rPr>
            </w:pPr>
            <w:r>
              <w:rPr>
                <w:rFonts w:hint="eastAsia"/>
                <w:color w:val="000000"/>
              </w:rPr>
              <w:t>加强警示标识、做好安全交底及可能出现任何问题的处理措施，安排专人在现场旁站、专人指挥</w:t>
            </w:r>
          </w:p>
        </w:tc>
        <w:tc>
          <w:tcPr>
            <w:tcW w:w="822" w:type="pct"/>
            <w:noWrap/>
            <w:vAlign w:val="center"/>
          </w:tcPr>
          <w:p w14:paraId="453498AD">
            <w:pPr>
              <w:pStyle w:val="128"/>
              <w:spacing w:before="93" w:after="93"/>
              <w:rPr>
                <w:color w:val="000000"/>
              </w:rPr>
            </w:pPr>
            <w:r>
              <w:rPr>
                <w:rFonts w:hint="eastAsia"/>
                <w:color w:val="000000"/>
              </w:rPr>
              <w:t>专职安全员</w:t>
            </w:r>
          </w:p>
          <w:p w14:paraId="113637CD">
            <w:pPr>
              <w:pStyle w:val="128"/>
              <w:spacing w:before="93" w:after="93"/>
              <w:rPr>
                <w:color w:val="000000"/>
              </w:rPr>
            </w:pPr>
            <w:r>
              <w:rPr>
                <w:rFonts w:hint="eastAsia"/>
                <w:color w:val="000000"/>
              </w:rPr>
              <w:t>指挥人员</w:t>
            </w:r>
          </w:p>
          <w:p w14:paraId="360E5C1E">
            <w:pPr>
              <w:pStyle w:val="128"/>
              <w:spacing w:before="93" w:after="93"/>
              <w:rPr>
                <w:color w:val="000000"/>
              </w:rPr>
            </w:pPr>
            <w:r>
              <w:rPr>
                <w:rFonts w:hint="eastAsia"/>
                <w:color w:val="000000"/>
              </w:rPr>
              <w:t>司机</w:t>
            </w:r>
          </w:p>
          <w:p w14:paraId="401AE8B2">
            <w:pPr>
              <w:pStyle w:val="128"/>
              <w:spacing w:before="93" w:after="93"/>
              <w:rPr>
                <w:color w:val="000000"/>
              </w:rPr>
            </w:pPr>
            <w:r>
              <w:rPr>
                <w:rFonts w:hint="eastAsia"/>
                <w:color w:val="000000"/>
              </w:rPr>
              <w:t>起重工</w:t>
            </w:r>
          </w:p>
        </w:tc>
        <w:tc>
          <w:tcPr>
            <w:tcW w:w="854" w:type="pct"/>
            <w:noWrap/>
            <w:vAlign w:val="center"/>
          </w:tcPr>
          <w:p w14:paraId="43B9C335">
            <w:pPr>
              <w:pStyle w:val="128"/>
              <w:spacing w:before="93" w:after="93"/>
              <w:rPr>
                <w:color w:val="000000"/>
              </w:rPr>
            </w:pPr>
          </w:p>
        </w:tc>
      </w:tr>
      <w:tr w14:paraId="0D3F42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6" w:type="pct"/>
            <w:noWrap/>
            <w:vAlign w:val="center"/>
          </w:tcPr>
          <w:p w14:paraId="3420021E">
            <w:pPr>
              <w:pStyle w:val="128"/>
              <w:spacing w:before="93" w:after="93"/>
              <w:rPr>
                <w:color w:val="000000"/>
              </w:rPr>
            </w:pPr>
            <w:r>
              <w:rPr>
                <w:rFonts w:hint="eastAsia"/>
                <w:color w:val="000000"/>
              </w:rPr>
              <w:t>9</w:t>
            </w:r>
          </w:p>
        </w:tc>
        <w:tc>
          <w:tcPr>
            <w:tcW w:w="411" w:type="pct"/>
            <w:noWrap/>
            <w:vAlign w:val="center"/>
          </w:tcPr>
          <w:p w14:paraId="660394A4">
            <w:pPr>
              <w:pStyle w:val="128"/>
              <w:spacing w:before="93" w:after="93"/>
              <w:rPr>
                <w:color w:val="000000"/>
              </w:rPr>
            </w:pPr>
            <w:r>
              <w:rPr>
                <w:rFonts w:hint="eastAsia"/>
                <w:color w:val="000000"/>
              </w:rPr>
              <w:t>碰撞建筑物、塔身</w:t>
            </w:r>
          </w:p>
        </w:tc>
        <w:tc>
          <w:tcPr>
            <w:tcW w:w="1175" w:type="pct"/>
            <w:noWrap/>
            <w:vAlign w:val="center"/>
          </w:tcPr>
          <w:p w14:paraId="19BA54FE">
            <w:pPr>
              <w:pStyle w:val="128"/>
              <w:spacing w:before="93" w:after="93"/>
              <w:rPr>
                <w:color w:val="000000"/>
              </w:rPr>
            </w:pPr>
            <w:r>
              <w:rPr>
                <w:rFonts w:hint="eastAsia"/>
                <w:color w:val="000000"/>
              </w:rPr>
              <w:t>拆除过程中，尤其是拆除附墙杆、附墙框时，碰撞建筑物或塔身</w:t>
            </w:r>
          </w:p>
        </w:tc>
        <w:tc>
          <w:tcPr>
            <w:tcW w:w="1449" w:type="pct"/>
            <w:noWrap/>
            <w:vAlign w:val="center"/>
          </w:tcPr>
          <w:p w14:paraId="296BCF50">
            <w:pPr>
              <w:pStyle w:val="128"/>
              <w:spacing w:before="93" w:after="93"/>
              <w:rPr>
                <w:color w:val="000000"/>
              </w:rPr>
            </w:pPr>
            <w:r>
              <w:rPr>
                <w:rFonts w:hint="eastAsia"/>
                <w:color w:val="000000"/>
              </w:rPr>
              <w:t>严格按拆除流程操作，系好安全防溜绳，安排专人在现场旁站、专人指挥</w:t>
            </w:r>
          </w:p>
        </w:tc>
        <w:tc>
          <w:tcPr>
            <w:tcW w:w="822" w:type="pct"/>
            <w:noWrap/>
            <w:vAlign w:val="center"/>
          </w:tcPr>
          <w:p w14:paraId="20B08A36">
            <w:pPr>
              <w:pStyle w:val="128"/>
              <w:spacing w:before="93" w:after="93"/>
              <w:rPr>
                <w:color w:val="000000"/>
              </w:rPr>
            </w:pPr>
            <w:r>
              <w:rPr>
                <w:rFonts w:hint="eastAsia"/>
                <w:color w:val="000000"/>
              </w:rPr>
              <w:t>专职安全员</w:t>
            </w:r>
          </w:p>
          <w:p w14:paraId="5E6451F4">
            <w:pPr>
              <w:pStyle w:val="128"/>
              <w:spacing w:before="93" w:after="93"/>
              <w:rPr>
                <w:color w:val="000000"/>
              </w:rPr>
            </w:pPr>
            <w:r>
              <w:rPr>
                <w:rFonts w:hint="eastAsia"/>
                <w:color w:val="000000"/>
              </w:rPr>
              <w:t>指挥人员</w:t>
            </w:r>
          </w:p>
          <w:p w14:paraId="30E50B5C">
            <w:pPr>
              <w:pStyle w:val="128"/>
              <w:spacing w:before="93" w:after="93"/>
              <w:rPr>
                <w:color w:val="000000"/>
              </w:rPr>
            </w:pPr>
            <w:r>
              <w:rPr>
                <w:rFonts w:hint="eastAsia"/>
                <w:color w:val="000000"/>
              </w:rPr>
              <w:t>司机</w:t>
            </w:r>
          </w:p>
          <w:p w14:paraId="3D0DCC08">
            <w:pPr>
              <w:pStyle w:val="128"/>
              <w:spacing w:before="93" w:after="93"/>
              <w:rPr>
                <w:color w:val="000000"/>
              </w:rPr>
            </w:pPr>
            <w:r>
              <w:rPr>
                <w:rFonts w:hint="eastAsia"/>
                <w:color w:val="000000"/>
              </w:rPr>
              <w:t>安拆工</w:t>
            </w:r>
          </w:p>
        </w:tc>
        <w:tc>
          <w:tcPr>
            <w:tcW w:w="854" w:type="pct"/>
            <w:noWrap/>
            <w:vAlign w:val="center"/>
          </w:tcPr>
          <w:p w14:paraId="5FDEC332">
            <w:pPr>
              <w:pStyle w:val="128"/>
              <w:spacing w:before="93" w:after="93"/>
              <w:rPr>
                <w:color w:val="000000"/>
              </w:rPr>
            </w:pPr>
          </w:p>
        </w:tc>
      </w:tr>
      <w:tr w14:paraId="7C9FE8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86" w:type="pct"/>
            <w:noWrap/>
            <w:vAlign w:val="center"/>
          </w:tcPr>
          <w:p w14:paraId="2BE9CC7D">
            <w:pPr>
              <w:pStyle w:val="128"/>
              <w:spacing w:before="93" w:after="93"/>
              <w:rPr>
                <w:color w:val="000000"/>
              </w:rPr>
            </w:pPr>
            <w:r>
              <w:rPr>
                <w:rFonts w:hint="eastAsia"/>
                <w:color w:val="000000"/>
              </w:rPr>
              <w:t>10</w:t>
            </w:r>
          </w:p>
        </w:tc>
        <w:tc>
          <w:tcPr>
            <w:tcW w:w="411" w:type="pct"/>
            <w:noWrap/>
            <w:vAlign w:val="center"/>
          </w:tcPr>
          <w:p w14:paraId="416BC6BB">
            <w:pPr>
              <w:pStyle w:val="128"/>
              <w:spacing w:before="93" w:after="93"/>
              <w:rPr>
                <w:color w:val="000000"/>
              </w:rPr>
            </w:pPr>
            <w:r>
              <w:rPr>
                <w:rFonts w:hint="eastAsia"/>
                <w:color w:val="000000"/>
              </w:rPr>
              <w:t>汽车吊</w:t>
            </w:r>
          </w:p>
          <w:p w14:paraId="182C9345">
            <w:pPr>
              <w:pStyle w:val="128"/>
              <w:spacing w:before="93" w:after="93"/>
              <w:rPr>
                <w:color w:val="000000"/>
              </w:rPr>
            </w:pPr>
            <w:r>
              <w:rPr>
                <w:rFonts w:hint="eastAsia"/>
                <w:color w:val="000000"/>
              </w:rPr>
              <w:t>断臂</w:t>
            </w:r>
          </w:p>
        </w:tc>
        <w:tc>
          <w:tcPr>
            <w:tcW w:w="1175" w:type="pct"/>
            <w:noWrap/>
            <w:vAlign w:val="center"/>
          </w:tcPr>
          <w:p w14:paraId="3DD81040">
            <w:pPr>
              <w:pStyle w:val="128"/>
              <w:spacing w:before="93" w:after="93"/>
              <w:rPr>
                <w:color w:val="000000"/>
              </w:rPr>
            </w:pPr>
            <w:r>
              <w:rPr>
                <w:rFonts w:hint="eastAsia"/>
                <w:color w:val="000000"/>
              </w:rPr>
              <w:t>在拆除过程中，汽车吊大臂折断</w:t>
            </w:r>
          </w:p>
        </w:tc>
        <w:tc>
          <w:tcPr>
            <w:tcW w:w="1449" w:type="pct"/>
            <w:noWrap/>
            <w:vAlign w:val="center"/>
          </w:tcPr>
          <w:p w14:paraId="459A0B33">
            <w:pPr>
              <w:pStyle w:val="128"/>
              <w:spacing w:before="93" w:after="93"/>
              <w:rPr>
                <w:color w:val="000000"/>
              </w:rPr>
            </w:pPr>
            <w:r>
              <w:rPr>
                <w:rFonts w:hint="eastAsia"/>
                <w:color w:val="000000"/>
              </w:rPr>
              <w:t>汽车吊进场前严格进行验收、施工过程中紧密监控吊装工况，安排专人在现场旁站、专人指挥</w:t>
            </w:r>
          </w:p>
        </w:tc>
        <w:tc>
          <w:tcPr>
            <w:tcW w:w="822" w:type="pct"/>
            <w:noWrap/>
            <w:vAlign w:val="center"/>
          </w:tcPr>
          <w:p w14:paraId="326E3FD5">
            <w:pPr>
              <w:pStyle w:val="128"/>
              <w:spacing w:before="93" w:after="93"/>
              <w:rPr>
                <w:color w:val="000000"/>
              </w:rPr>
            </w:pPr>
            <w:r>
              <w:rPr>
                <w:rFonts w:hint="eastAsia"/>
                <w:color w:val="000000"/>
              </w:rPr>
              <w:t>专职安全员</w:t>
            </w:r>
          </w:p>
          <w:p w14:paraId="039E7C87">
            <w:pPr>
              <w:pStyle w:val="128"/>
              <w:spacing w:before="93" w:after="93"/>
              <w:rPr>
                <w:color w:val="000000"/>
              </w:rPr>
            </w:pPr>
            <w:r>
              <w:rPr>
                <w:rFonts w:hint="eastAsia"/>
                <w:color w:val="000000"/>
              </w:rPr>
              <w:t>指挥人员</w:t>
            </w:r>
          </w:p>
          <w:p w14:paraId="7A33D663">
            <w:pPr>
              <w:pStyle w:val="128"/>
              <w:spacing w:before="93" w:after="93"/>
              <w:rPr>
                <w:color w:val="000000"/>
              </w:rPr>
            </w:pPr>
            <w:r>
              <w:rPr>
                <w:rFonts w:hint="eastAsia"/>
                <w:color w:val="000000"/>
              </w:rPr>
              <w:t>司机</w:t>
            </w:r>
          </w:p>
        </w:tc>
        <w:tc>
          <w:tcPr>
            <w:tcW w:w="854" w:type="pct"/>
            <w:noWrap/>
            <w:vAlign w:val="center"/>
          </w:tcPr>
          <w:p w14:paraId="52621D27">
            <w:pPr>
              <w:pStyle w:val="128"/>
              <w:spacing w:before="93" w:after="93"/>
              <w:rPr>
                <w:color w:val="000000"/>
              </w:rPr>
            </w:pPr>
          </w:p>
        </w:tc>
      </w:tr>
    </w:tbl>
    <w:p w14:paraId="45DD145E">
      <w:pPr>
        <w:pStyle w:val="2"/>
        <w:rPr>
          <w:rFonts w:eastAsia="仿宋_GB2312"/>
          <w:color w:val="000000"/>
        </w:rPr>
      </w:pPr>
      <w:bookmarkStart w:id="117" w:name="_Toc21853"/>
      <w:r>
        <w:rPr>
          <w:rFonts w:hint="eastAsia" w:ascii="仿宋" w:hAnsi="仿宋" w:eastAsia="仿宋"/>
          <w:color w:val="000000"/>
        </w:rPr>
        <w:t>特种作业管理及安拆人员证件</w:t>
      </w:r>
      <w:bookmarkEnd w:id="117"/>
    </w:p>
    <w:p w14:paraId="0A3E5DCB">
      <w:pPr>
        <w:ind w:firstLine="0" w:firstLineChars="0"/>
        <w:rPr>
          <w:color w:val="000000"/>
        </w:rPr>
      </w:pPr>
      <w:r>
        <w:rPr>
          <w:rFonts w:eastAsia="仿宋_GB2312"/>
          <w:color w:val="000000"/>
        </w:rPr>
        <w:drawing>
          <wp:inline distT="0" distB="0" distL="114300" distR="114300">
            <wp:extent cx="6645910" cy="9397365"/>
            <wp:effectExtent l="0" t="0" r="2540" b="13335"/>
            <wp:docPr id="31" name="图片 48" descr="A-乐其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8" descr="A-乐其春"/>
                    <pic:cNvPicPr>
                      <a:picLocks noChangeAspect="1"/>
                    </pic:cNvPicPr>
                  </pic:nvPicPr>
                  <pic:blipFill>
                    <a:blip r:embed="rId66"/>
                    <a:stretch>
                      <a:fillRect/>
                    </a:stretch>
                  </pic:blipFill>
                  <pic:spPr>
                    <a:xfrm>
                      <a:off x="0" y="0"/>
                      <a:ext cx="6645910" cy="9397365"/>
                    </a:xfrm>
                    <a:prstGeom prst="rect">
                      <a:avLst/>
                    </a:prstGeom>
                    <a:noFill/>
                    <a:ln>
                      <a:noFill/>
                    </a:ln>
                  </pic:spPr>
                </pic:pic>
              </a:graphicData>
            </a:graphic>
          </wp:inline>
        </w:drawing>
      </w:r>
    </w:p>
    <w:p w14:paraId="00F4C40F">
      <w:pPr>
        <w:spacing w:line="240" w:lineRule="auto"/>
        <w:ind w:firstLine="0" w:firstLineChars="0"/>
        <w:rPr>
          <w:rFonts w:hint="eastAsia" w:eastAsia="仿宋"/>
          <w:lang w:eastAsia="zh-CN"/>
        </w:rPr>
      </w:pPr>
      <w:r>
        <w:rPr>
          <w:rFonts w:hint="eastAsia" w:eastAsia="仿宋"/>
          <w:lang w:eastAsia="zh-CN"/>
        </w:rPr>
        <w:drawing>
          <wp:inline distT="0" distB="0" distL="114300" distR="114300">
            <wp:extent cx="5938520" cy="8352790"/>
            <wp:effectExtent l="0" t="0" r="5080" b="10160"/>
            <wp:docPr id="76" name="图片 76" descr="高级工程师证-温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高级工程师证-温涛"/>
                    <pic:cNvPicPr>
                      <a:picLocks noChangeAspect="1"/>
                    </pic:cNvPicPr>
                  </pic:nvPicPr>
                  <pic:blipFill>
                    <a:blip r:embed="rId67"/>
                    <a:stretch>
                      <a:fillRect/>
                    </a:stretch>
                  </pic:blipFill>
                  <pic:spPr>
                    <a:xfrm>
                      <a:off x="0" y="0"/>
                      <a:ext cx="5938520" cy="8352790"/>
                    </a:xfrm>
                    <a:prstGeom prst="rect">
                      <a:avLst/>
                    </a:prstGeom>
                  </pic:spPr>
                </pic:pic>
              </a:graphicData>
            </a:graphic>
          </wp:inline>
        </w:drawing>
      </w:r>
      <w:r>
        <w:rPr>
          <w:rFonts w:hint="eastAsia" w:eastAsia="仿宋"/>
          <w:lang w:eastAsia="zh-CN"/>
        </w:rPr>
        <w:drawing>
          <wp:inline distT="0" distB="0" distL="114300" distR="114300">
            <wp:extent cx="5646420" cy="7985125"/>
            <wp:effectExtent l="0" t="0" r="11430" b="15875"/>
            <wp:docPr id="87" name="图片 87" descr="质监A证-熊登20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质监A证-熊登2027.5"/>
                    <pic:cNvPicPr>
                      <a:picLocks noChangeAspect="1"/>
                    </pic:cNvPicPr>
                  </pic:nvPicPr>
                  <pic:blipFill>
                    <a:blip r:embed="rId68"/>
                    <a:stretch>
                      <a:fillRect/>
                    </a:stretch>
                  </pic:blipFill>
                  <pic:spPr>
                    <a:xfrm>
                      <a:off x="0" y="0"/>
                      <a:ext cx="5646420" cy="7985125"/>
                    </a:xfrm>
                    <a:prstGeom prst="rect">
                      <a:avLst/>
                    </a:prstGeom>
                  </pic:spPr>
                </pic:pic>
              </a:graphicData>
            </a:graphic>
          </wp:inline>
        </w:drawing>
      </w:r>
    </w:p>
    <w:p w14:paraId="49121AA3">
      <w:pPr>
        <w:pStyle w:val="11"/>
        <w:spacing w:line="240" w:lineRule="auto"/>
        <w:ind w:firstLine="0" w:firstLineChars="0"/>
        <w:rPr>
          <w:rFonts w:eastAsia="仿宋"/>
        </w:rPr>
      </w:pPr>
    </w:p>
    <w:p w14:paraId="5694B8FB">
      <w:pPr>
        <w:spacing w:line="240" w:lineRule="auto"/>
        <w:ind w:firstLine="0" w:firstLineChars="0"/>
        <w:jc w:val="center"/>
        <w:rPr>
          <w:rFonts w:eastAsia="仿宋"/>
        </w:rPr>
      </w:pPr>
    </w:p>
    <w:p w14:paraId="22894B5A">
      <w:pPr>
        <w:pStyle w:val="11"/>
        <w:spacing w:line="240" w:lineRule="auto"/>
        <w:ind w:firstLine="0" w:firstLineChars="0"/>
        <w:rPr>
          <w:rFonts w:eastAsia="仿宋"/>
        </w:rPr>
      </w:pPr>
      <w:r>
        <w:rPr>
          <w:rFonts w:eastAsia="仿宋"/>
        </w:rPr>
        <w:drawing>
          <wp:inline distT="0" distB="0" distL="114300" distR="114300">
            <wp:extent cx="5713730" cy="7683500"/>
            <wp:effectExtent l="0" t="0" r="1270" b="12700"/>
            <wp:docPr id="153" name="图片 134" descr="Q1指挥-贺中兵-2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34" descr="Q1指挥-贺中兵-2028.8"/>
                    <pic:cNvPicPr>
                      <a:picLocks noChangeAspect="1"/>
                    </pic:cNvPicPr>
                  </pic:nvPicPr>
                  <pic:blipFill>
                    <a:blip r:embed="rId69"/>
                    <a:stretch>
                      <a:fillRect/>
                    </a:stretch>
                  </pic:blipFill>
                  <pic:spPr>
                    <a:xfrm>
                      <a:off x="0" y="0"/>
                      <a:ext cx="5713730" cy="7683500"/>
                    </a:xfrm>
                    <a:prstGeom prst="rect">
                      <a:avLst/>
                    </a:prstGeom>
                    <a:noFill/>
                    <a:ln>
                      <a:noFill/>
                    </a:ln>
                  </pic:spPr>
                </pic:pic>
              </a:graphicData>
            </a:graphic>
          </wp:inline>
        </w:drawing>
      </w:r>
      <w:r>
        <w:rPr>
          <w:rFonts w:eastAsia="仿宋"/>
        </w:rPr>
        <w:drawing>
          <wp:inline distT="0" distB="0" distL="114300" distR="114300">
            <wp:extent cx="5719445" cy="8083550"/>
            <wp:effectExtent l="0" t="0" r="14605" b="12700"/>
            <wp:docPr id="154" name="图片 142" descr="塔吊安拆-张川2026.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42" descr="塔吊安拆-张川2026.11.4"/>
                    <pic:cNvPicPr>
                      <a:picLocks noChangeAspect="1"/>
                    </pic:cNvPicPr>
                  </pic:nvPicPr>
                  <pic:blipFill>
                    <a:blip r:embed="rId70"/>
                    <a:stretch>
                      <a:fillRect/>
                    </a:stretch>
                  </pic:blipFill>
                  <pic:spPr>
                    <a:xfrm>
                      <a:off x="0" y="0"/>
                      <a:ext cx="5719445" cy="8083550"/>
                    </a:xfrm>
                    <a:prstGeom prst="rect">
                      <a:avLst/>
                    </a:prstGeom>
                    <a:noFill/>
                    <a:ln>
                      <a:noFill/>
                    </a:ln>
                  </pic:spPr>
                </pic:pic>
              </a:graphicData>
            </a:graphic>
          </wp:inline>
        </w:drawing>
      </w:r>
      <w:r>
        <w:rPr>
          <w:rFonts w:eastAsia="仿宋"/>
        </w:rPr>
        <w:drawing>
          <wp:inline distT="0" distB="0" distL="114300" distR="114300">
            <wp:extent cx="5719445" cy="8706485"/>
            <wp:effectExtent l="0" t="0" r="14605" b="18415"/>
            <wp:docPr id="155" name="图片 138" descr="塔吊安拆-戴富东2026.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38" descr="塔吊安拆-戴富东2026.6.29"/>
                    <pic:cNvPicPr>
                      <a:picLocks noChangeAspect="1"/>
                    </pic:cNvPicPr>
                  </pic:nvPicPr>
                  <pic:blipFill>
                    <a:blip r:embed="rId71"/>
                    <a:stretch>
                      <a:fillRect/>
                    </a:stretch>
                  </pic:blipFill>
                  <pic:spPr>
                    <a:xfrm>
                      <a:off x="0" y="0"/>
                      <a:ext cx="5719445" cy="8706485"/>
                    </a:xfrm>
                    <a:prstGeom prst="rect">
                      <a:avLst/>
                    </a:prstGeom>
                    <a:noFill/>
                    <a:ln>
                      <a:noFill/>
                    </a:ln>
                  </pic:spPr>
                </pic:pic>
              </a:graphicData>
            </a:graphic>
          </wp:inline>
        </w:drawing>
      </w:r>
      <w:r>
        <w:rPr>
          <w:rFonts w:eastAsia="仿宋"/>
        </w:rPr>
        <w:drawing>
          <wp:inline distT="0" distB="0" distL="114300" distR="114300">
            <wp:extent cx="5721350" cy="8341995"/>
            <wp:effectExtent l="0" t="0" r="12700" b="1905"/>
            <wp:docPr id="156" name="图片 139" descr="塔吊安拆-冯昌苹202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39" descr="塔吊安拆-冯昌苹2026.6.28"/>
                    <pic:cNvPicPr>
                      <a:picLocks noChangeAspect="1"/>
                    </pic:cNvPicPr>
                  </pic:nvPicPr>
                  <pic:blipFill>
                    <a:blip r:embed="rId72"/>
                    <a:stretch>
                      <a:fillRect/>
                    </a:stretch>
                  </pic:blipFill>
                  <pic:spPr>
                    <a:xfrm>
                      <a:off x="0" y="0"/>
                      <a:ext cx="5721350" cy="8341995"/>
                    </a:xfrm>
                    <a:prstGeom prst="rect">
                      <a:avLst/>
                    </a:prstGeom>
                    <a:noFill/>
                    <a:ln>
                      <a:noFill/>
                    </a:ln>
                  </pic:spPr>
                </pic:pic>
              </a:graphicData>
            </a:graphic>
          </wp:inline>
        </w:drawing>
      </w:r>
      <w:r>
        <w:rPr>
          <w:rFonts w:eastAsia="仿宋"/>
        </w:rPr>
        <w:drawing>
          <wp:inline distT="0" distB="0" distL="114300" distR="114300">
            <wp:extent cx="5648325" cy="7981950"/>
            <wp:effectExtent l="0" t="0" r="9525" b="0"/>
            <wp:docPr id="157" name="图片 313" descr="塔吊安拆-何小兵2026.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313" descr="塔吊安拆-何小兵2026.11.4"/>
                    <pic:cNvPicPr>
                      <a:picLocks noChangeAspect="1"/>
                    </pic:cNvPicPr>
                  </pic:nvPicPr>
                  <pic:blipFill>
                    <a:blip r:embed="rId73"/>
                    <a:stretch>
                      <a:fillRect/>
                    </a:stretch>
                  </pic:blipFill>
                  <pic:spPr>
                    <a:xfrm>
                      <a:off x="0" y="0"/>
                      <a:ext cx="5648325" cy="7981950"/>
                    </a:xfrm>
                    <a:prstGeom prst="rect">
                      <a:avLst/>
                    </a:prstGeom>
                    <a:noFill/>
                    <a:ln>
                      <a:noFill/>
                    </a:ln>
                  </pic:spPr>
                </pic:pic>
              </a:graphicData>
            </a:graphic>
          </wp:inline>
        </w:drawing>
      </w:r>
      <w:r>
        <w:rPr>
          <w:rFonts w:eastAsia="仿宋"/>
        </w:rPr>
        <w:drawing>
          <wp:inline distT="0" distB="0" distL="114300" distR="114300">
            <wp:extent cx="5723255" cy="8169910"/>
            <wp:effectExtent l="0" t="0" r="10795" b="2540"/>
            <wp:docPr id="158" name="图片 137" descr="电工         熊登 20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37" descr="电工         熊登 2027.5.6"/>
                    <pic:cNvPicPr>
                      <a:picLocks noChangeAspect="1"/>
                    </pic:cNvPicPr>
                  </pic:nvPicPr>
                  <pic:blipFill>
                    <a:blip r:embed="rId74"/>
                    <a:stretch>
                      <a:fillRect/>
                    </a:stretch>
                  </pic:blipFill>
                  <pic:spPr>
                    <a:xfrm>
                      <a:off x="0" y="0"/>
                      <a:ext cx="5723255" cy="8169910"/>
                    </a:xfrm>
                    <a:prstGeom prst="rect">
                      <a:avLst/>
                    </a:prstGeom>
                    <a:noFill/>
                    <a:ln>
                      <a:noFill/>
                    </a:ln>
                  </pic:spPr>
                </pic:pic>
              </a:graphicData>
            </a:graphic>
          </wp:inline>
        </w:drawing>
      </w:r>
    </w:p>
    <w:p w14:paraId="306B2269">
      <w:pPr>
        <w:rPr>
          <w:color w:val="000000"/>
        </w:rPr>
      </w:pPr>
      <w:r>
        <w:rPr>
          <w:rFonts w:eastAsia="仿宋"/>
        </w:rPr>
        <w:drawing>
          <wp:inline distT="0" distB="0" distL="114300" distR="114300">
            <wp:extent cx="5723890" cy="8094345"/>
            <wp:effectExtent l="0" t="0" r="10160" b="1905"/>
            <wp:docPr id="159" name="图片 66" descr="安全员C证-孔令波-2026.4.30-桥渝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66" descr="安全员C证-孔令波-2026.4.30-桥渝_00"/>
                    <pic:cNvPicPr>
                      <a:picLocks noChangeAspect="1"/>
                    </pic:cNvPicPr>
                  </pic:nvPicPr>
                  <pic:blipFill>
                    <a:blip r:embed="rId75"/>
                    <a:stretch>
                      <a:fillRect/>
                    </a:stretch>
                  </pic:blipFill>
                  <pic:spPr>
                    <a:xfrm>
                      <a:off x="0" y="0"/>
                      <a:ext cx="5723890" cy="8094345"/>
                    </a:xfrm>
                    <a:prstGeom prst="rect">
                      <a:avLst/>
                    </a:prstGeom>
                    <a:noFill/>
                    <a:ln>
                      <a:noFill/>
                    </a:ln>
                  </pic:spPr>
                </pic:pic>
              </a:graphicData>
            </a:graphic>
          </wp:inline>
        </w:drawing>
      </w:r>
      <w:r>
        <w:rPr>
          <w:rFonts w:eastAsia="仿宋"/>
        </w:rPr>
        <w:drawing>
          <wp:inline distT="0" distB="0" distL="114300" distR="114300">
            <wp:extent cx="5647690" cy="8549640"/>
            <wp:effectExtent l="0" t="0" r="10160" b="3810"/>
            <wp:docPr id="160" name="图片 314" descr="塔吊司机-万元202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314" descr="塔吊司机-万元2026.10.9"/>
                    <pic:cNvPicPr>
                      <a:picLocks noChangeAspect="1"/>
                    </pic:cNvPicPr>
                  </pic:nvPicPr>
                  <pic:blipFill>
                    <a:blip r:embed="rId76"/>
                    <a:stretch>
                      <a:fillRect/>
                    </a:stretch>
                  </pic:blipFill>
                  <pic:spPr>
                    <a:xfrm>
                      <a:off x="0" y="0"/>
                      <a:ext cx="5647690" cy="8549640"/>
                    </a:xfrm>
                    <a:prstGeom prst="rect">
                      <a:avLst/>
                    </a:prstGeom>
                    <a:noFill/>
                    <a:ln>
                      <a:noFill/>
                    </a:ln>
                  </pic:spPr>
                </pic:pic>
              </a:graphicData>
            </a:graphic>
          </wp:inline>
        </w:drawing>
      </w:r>
    </w:p>
    <w:sectPr>
      <w:footerReference r:id="rId12" w:type="default"/>
      <w:pgSz w:w="11906" w:h="16838"/>
      <w:pgMar w:top="1134" w:right="1134" w:bottom="1134" w:left="1418" w:header="851" w:footer="964"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SJQY">
    <w:altName w:val="宋体"/>
    <w:panose1 w:val="02010600030101010101"/>
    <w:charset w:val="86"/>
    <w:family w:val="auto"/>
    <w:pitch w:val="default"/>
    <w:sig w:usb0="00000000" w:usb1="00000000" w:usb2="00000000" w:usb3="00000000" w:csb0="00040001"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EDD12">
    <w:pPr>
      <w:pStyle w:val="19"/>
      <w:ind w:firstLine="360"/>
    </w:pPr>
  </w:p>
  <w:p w14:paraId="08F3D462">
    <w:pPr>
      <w:pStyle w:val="1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F0BC2">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A1FE7">
    <w:pPr>
      <w:pStyle w:val="1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9EB32">
    <w:pPr>
      <w:pStyle w:val="1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48F0B">
    <w:pPr>
      <w:pStyle w:val="19"/>
      <w:ind w:firstLine="0" w:firstLineChars="0"/>
      <w:jc w:val="center"/>
    </w:pPr>
    <w:r>
      <w:fldChar w:fldCharType="begin"/>
    </w:r>
    <w:r>
      <w:instrText xml:space="preserve">PAGE   \* MERGEFORMAT</w:instrText>
    </w:r>
    <w:r>
      <w:fldChar w:fldCharType="separate"/>
    </w:r>
    <w:r>
      <w:rPr>
        <w:lang w:val="zh-CN"/>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6763F">
    <w:pPr>
      <w:pStyle w:val="20"/>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BF634">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D21A9">
    <w:pPr>
      <w:pStyle w:val="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1307A5"/>
    <w:multiLevelType w:val="singleLevel"/>
    <w:tmpl w:val="921307A5"/>
    <w:lvl w:ilvl="0" w:tentative="0">
      <w:start w:val="1"/>
      <w:numFmt w:val="decimal"/>
      <w:suff w:val="nothing"/>
      <w:lvlText w:val="%1"/>
      <w:lvlJc w:val="left"/>
      <w:pPr>
        <w:tabs>
          <w:tab w:val="left" w:pos="0"/>
        </w:tabs>
        <w:ind w:left="0" w:firstLine="0"/>
      </w:pPr>
      <w:rPr>
        <w:rFonts w:hint="default"/>
      </w:rPr>
    </w:lvl>
  </w:abstractNum>
  <w:abstractNum w:abstractNumId="1">
    <w:nsid w:val="97D0CDA9"/>
    <w:multiLevelType w:val="multilevel"/>
    <w:tmpl w:val="97D0CDA9"/>
    <w:lvl w:ilvl="0" w:tentative="0">
      <w:start w:val="1"/>
      <w:numFmt w:val="decimal"/>
      <w:pStyle w:val="2"/>
      <w:suff w:val="nothing"/>
      <w:lvlText w:val="%1."/>
      <w:lvlJc w:val="left"/>
      <w:pPr>
        <w:ind w:left="0" w:firstLine="0"/>
      </w:pPr>
      <w:rPr>
        <w:rFonts w:hint="eastAsia"/>
      </w:rPr>
    </w:lvl>
    <w:lvl w:ilvl="1" w:tentative="0">
      <w:start w:val="1"/>
      <w:numFmt w:val="decimal"/>
      <w:pStyle w:val="3"/>
      <w:suff w:val="nothing"/>
      <w:lvlText w:val="%1.%2"/>
      <w:lvlJc w:val="left"/>
      <w:pPr>
        <w:ind w:left="0" w:firstLine="0"/>
      </w:pPr>
      <w:rPr>
        <w:rFonts w:hint="eastAsia"/>
      </w:rPr>
    </w:lvl>
    <w:lvl w:ilvl="2" w:tentative="0">
      <w:start w:val="1"/>
      <w:numFmt w:val="decimal"/>
      <w:pStyle w:val="4"/>
      <w:suff w:val="space"/>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
    <w:nsid w:val="B2B9F3F8"/>
    <w:multiLevelType w:val="multilevel"/>
    <w:tmpl w:val="B2B9F3F8"/>
    <w:lvl w:ilvl="0" w:tentative="0">
      <w:start w:val="1"/>
      <w:numFmt w:val="decimal"/>
      <w:suff w:val="nothing"/>
      <w:lvlText w:val="（%1）"/>
      <w:lvlJc w:val="left"/>
      <w:pPr>
        <w:ind w:left="0" w:firstLine="480"/>
      </w:pPr>
      <w:rPr>
        <w:rFonts w:hint="default" w:ascii="仿宋" w:hAnsi="仿宋" w:eastAsia="仿宋" w:cs="仿宋"/>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B81672AC"/>
    <w:multiLevelType w:val="multilevel"/>
    <w:tmpl w:val="B81672AC"/>
    <w:lvl w:ilvl="0" w:tentative="0">
      <w:start w:val="1"/>
      <w:numFmt w:val="decimal"/>
      <w:suff w:val="nothing"/>
      <w:lvlText w:val="（%1）"/>
      <w:lvlJc w:val="left"/>
      <w:pPr>
        <w:ind w:left="0" w:firstLine="480"/>
      </w:pPr>
      <w:rPr>
        <w:rFonts w:hint="default" w:ascii="仿宋" w:hAnsi="仿宋" w:eastAsia="仿宋" w:cs="仿宋"/>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DB74DBC1"/>
    <w:multiLevelType w:val="multilevel"/>
    <w:tmpl w:val="DB74DBC1"/>
    <w:lvl w:ilvl="0" w:tentative="0">
      <w:start w:val="1"/>
      <w:numFmt w:val="decimal"/>
      <w:suff w:val="nothing"/>
      <w:lvlText w:val="（%1）"/>
      <w:lvlJc w:val="left"/>
      <w:pPr>
        <w:ind w:left="0" w:firstLine="480"/>
      </w:pPr>
      <w:rPr>
        <w:rFonts w:hint="default" w:ascii="仿宋" w:hAnsi="仿宋" w:eastAsia="仿宋" w:cs="仿宋"/>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0B921987"/>
    <w:multiLevelType w:val="multilevel"/>
    <w:tmpl w:val="0B921987"/>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1F044A81"/>
    <w:multiLevelType w:val="multilevel"/>
    <w:tmpl w:val="1F044A81"/>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5F5AB57F"/>
    <w:multiLevelType w:val="multilevel"/>
    <w:tmpl w:val="5F5AB57F"/>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77CB9543"/>
    <w:multiLevelType w:val="multilevel"/>
    <w:tmpl w:val="77CB9543"/>
    <w:lvl w:ilvl="0" w:tentative="0">
      <w:start w:val="1"/>
      <w:numFmt w:val="decimal"/>
      <w:isLgl/>
      <w:lvlText w:val="第%1章  "/>
      <w:lvlJc w:val="left"/>
      <w:pPr>
        <w:tabs>
          <w:tab w:val="left" w:pos="420"/>
        </w:tabs>
        <w:ind w:left="-170" w:firstLine="454"/>
      </w:pPr>
      <w:rPr>
        <w:rFonts w:hint="default" w:ascii="宋体" w:hAnsi="宋体" w:eastAsia="宋体" w:cs="宋体"/>
        <w:b w:val="0"/>
        <w:i w:val="0"/>
        <w:color w:val="FF0000"/>
        <w:sz w:val="30"/>
      </w:rPr>
    </w:lvl>
    <w:lvl w:ilvl="1" w:tentative="0">
      <w:start w:val="1"/>
      <w:numFmt w:val="decimal"/>
      <w:isLgl/>
      <w:suff w:val="space"/>
      <w:lvlText w:val="%1.%2"/>
      <w:lvlJc w:val="left"/>
      <w:pPr>
        <w:ind w:left="822" w:firstLine="454"/>
      </w:pPr>
      <w:rPr>
        <w:rFonts w:hint="default" w:ascii="宋体" w:hAnsi="宋体" w:eastAsia="宋体" w:cs="宋体"/>
        <w:b w:val="0"/>
        <w:bCs w:val="0"/>
        <w:i w:val="0"/>
        <w:iCs w:val="0"/>
        <w:caps w:val="0"/>
        <w:smallCaps w:val="0"/>
        <w:strike w:val="0"/>
        <w:dstrike w:val="0"/>
        <w:vanish w:val="0"/>
        <w:color w:val="2D18F0"/>
        <w:spacing w:val="0"/>
        <w:position w:val="0"/>
        <w:sz w:val="24"/>
        <w:u w:val="none"/>
        <w:vertAlign w:val="baseline"/>
      </w:rPr>
    </w:lvl>
    <w:lvl w:ilvl="2" w:tentative="0">
      <w:start w:val="1"/>
      <w:numFmt w:val="decimal"/>
      <w:isLgl/>
      <w:suff w:val="space"/>
      <w:lvlText w:val="%1.%2.%3"/>
      <w:lvlJc w:val="left"/>
      <w:pPr>
        <w:ind w:left="254" w:firstLine="454"/>
      </w:pPr>
      <w:rPr>
        <w:rFonts w:hint="default" w:ascii="宋体" w:hAnsi="宋体" w:eastAsia="宋体" w:cs="宋体"/>
        <w:b w:val="0"/>
        <w:bCs w:val="0"/>
        <w:i w:val="0"/>
        <w:iCs w:val="0"/>
        <w:caps w:val="0"/>
        <w:smallCaps w:val="0"/>
        <w:strike w:val="0"/>
        <w:dstrike w:val="0"/>
        <w:vanish w:val="0"/>
        <w:spacing w:val="0"/>
        <w:position w:val="0"/>
        <w:u w:val="none"/>
        <w:vertAlign w:val="baseline"/>
      </w:rPr>
    </w:lvl>
    <w:lvl w:ilvl="3" w:tentative="0">
      <w:start w:val="1"/>
      <w:numFmt w:val="decimal"/>
      <w:isLgl/>
      <w:suff w:val="space"/>
      <w:lvlText w:val="%4."/>
      <w:lvlJc w:val="left"/>
      <w:pPr>
        <w:ind w:left="-170" w:firstLine="454"/>
      </w:pPr>
      <w:rPr>
        <w:rFonts w:hint="default" w:ascii="宋体" w:hAnsi="宋体" w:eastAsia="宋体" w:cs="宋体"/>
        <w:b w:val="0"/>
        <w:bCs w:val="0"/>
        <w:i w:val="0"/>
        <w:iCs w:val="0"/>
        <w:caps w:val="0"/>
        <w:smallCaps w:val="0"/>
        <w:strike w:val="0"/>
        <w:dstrike w:val="0"/>
        <w:vanish w:val="0"/>
        <w:color w:val="000000"/>
        <w:spacing w:val="0"/>
        <w:position w:val="0"/>
        <w:u w:val="none"/>
        <w:vertAlign w:val="baseline"/>
      </w:rPr>
    </w:lvl>
    <w:lvl w:ilvl="4" w:tentative="0">
      <w:start w:val="1"/>
      <w:numFmt w:val="decimal"/>
      <w:suff w:val="space"/>
      <w:lvlText w:val="(%5)"/>
      <w:lvlJc w:val="left"/>
      <w:pPr>
        <w:ind w:left="680" w:hanging="680"/>
      </w:pPr>
      <w:rPr>
        <w:rFonts w:hint="default" w:ascii="宋体" w:hAnsi="宋体" w:eastAsia="宋体" w:cs="宋体"/>
        <w:b w:val="0"/>
        <w:bCs/>
        <w:i w:val="0"/>
        <w:color w:val="660066"/>
        <w:sz w:val="24"/>
      </w:rPr>
    </w:lvl>
    <w:lvl w:ilvl="5" w:tentative="0">
      <w:start w:val="1"/>
      <w:numFmt w:val="upperRoman"/>
      <w:suff w:val="space"/>
      <w:lvlText w:val="%6、"/>
      <w:lvlJc w:val="left"/>
      <w:pPr>
        <w:ind w:firstLine="454"/>
      </w:pPr>
      <w:rPr>
        <w:rFonts w:hint="default" w:ascii="宋体" w:hAnsi="宋体" w:eastAsia="宋体" w:cs="宋体"/>
        <w:b w:val="0"/>
        <w:bCs/>
        <w:i w:val="0"/>
        <w:color w:val="000000"/>
        <w:sz w:val="24"/>
      </w:rPr>
    </w:lvl>
    <w:lvl w:ilvl="6" w:tentative="0">
      <w:start w:val="1"/>
      <w:numFmt w:val="upperLetter"/>
      <w:suff w:val="space"/>
      <w:lvlText w:val="%7."/>
      <w:lvlJc w:val="left"/>
      <w:pPr>
        <w:ind w:left="-29" w:firstLine="454"/>
      </w:pPr>
      <w:rPr>
        <w:rFonts w:hint="default" w:ascii="宋体" w:hAnsi="宋体" w:eastAsia="宋体" w:cs="宋体"/>
        <w:b/>
        <w:bCs/>
        <w:i w:val="0"/>
        <w:color w:val="000000"/>
        <w:sz w:val="24"/>
      </w:rPr>
    </w:lvl>
    <w:lvl w:ilvl="7" w:tentative="0">
      <w:start w:val="1"/>
      <w:numFmt w:val="decimal"/>
      <w:lvlRestart w:val="0"/>
      <w:pStyle w:val="7"/>
      <w:suff w:val="space"/>
      <w:lvlText w:val="图 %1.%2-%8"/>
      <w:lvlJc w:val="center"/>
      <w:pPr>
        <w:ind w:left="480"/>
      </w:pPr>
      <w:rPr>
        <w:rFonts w:hint="default" w:ascii="宋体" w:hAnsi="宋体" w:eastAsia="宋体" w:cs="宋体"/>
        <w:b/>
        <w:bCs/>
        <w:i w:val="0"/>
        <w:color w:val="0000FF"/>
        <w:sz w:val="21"/>
      </w:rPr>
    </w:lvl>
    <w:lvl w:ilvl="8" w:tentative="0">
      <w:start w:val="1"/>
      <w:numFmt w:val="decimal"/>
      <w:lvlRestart w:val="0"/>
      <w:isLgl/>
      <w:suff w:val="space"/>
      <w:lvlText w:val="表 %1.%2-%9"/>
      <w:lvlJc w:val="center"/>
      <w:rPr>
        <w:rFonts w:hint="default" w:ascii="宋体" w:hAnsi="宋体" w:eastAsia="宋体" w:cs="宋体"/>
        <w:b/>
        <w:i w:val="0"/>
        <w:color w:val="0000FF"/>
        <w:sz w:val="21"/>
      </w:rPr>
    </w:lvl>
  </w:abstractNum>
  <w:num w:numId="1">
    <w:abstractNumId w:val="1"/>
  </w:num>
  <w:num w:numId="2">
    <w:abstractNumId w:val="8"/>
  </w:num>
  <w:num w:numId="3">
    <w:abstractNumId w:val="6"/>
  </w:num>
  <w:num w:numId="4">
    <w:abstractNumId w:val="5"/>
  </w:num>
  <w:num w:numId="5">
    <w:abstractNumId w:val="7"/>
  </w:num>
  <w:num w:numId="6">
    <w:abstractNumId w:val="4"/>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3YmNjMjY2OTYxMGViNDM4ZDA5NDFmZGIwZWI2NmUifQ=="/>
    <w:docVar w:name="KSO_WPS_MARK_KEY" w:val="d9631edd-0f55-4515-9bb2-1dacca92ee97"/>
  </w:docVars>
  <w:rsids>
    <w:rsidRoot w:val="00172A27"/>
    <w:rsid w:val="000078AD"/>
    <w:rsid w:val="000170BC"/>
    <w:rsid w:val="0002092A"/>
    <w:rsid w:val="00023FB7"/>
    <w:rsid w:val="00035BB5"/>
    <w:rsid w:val="0003660F"/>
    <w:rsid w:val="000377E1"/>
    <w:rsid w:val="00050264"/>
    <w:rsid w:val="00065947"/>
    <w:rsid w:val="0006637C"/>
    <w:rsid w:val="00066603"/>
    <w:rsid w:val="00090602"/>
    <w:rsid w:val="00092951"/>
    <w:rsid w:val="000963DD"/>
    <w:rsid w:val="00096F67"/>
    <w:rsid w:val="000A08E5"/>
    <w:rsid w:val="000A38DF"/>
    <w:rsid w:val="000A573D"/>
    <w:rsid w:val="000B5DC4"/>
    <w:rsid w:val="000C0544"/>
    <w:rsid w:val="000C2054"/>
    <w:rsid w:val="000D273F"/>
    <w:rsid w:val="000D4142"/>
    <w:rsid w:val="000D69B4"/>
    <w:rsid w:val="000D7DF2"/>
    <w:rsid w:val="000E2679"/>
    <w:rsid w:val="000F6E4E"/>
    <w:rsid w:val="000F79BD"/>
    <w:rsid w:val="00102066"/>
    <w:rsid w:val="001048ED"/>
    <w:rsid w:val="00105A7E"/>
    <w:rsid w:val="001161C6"/>
    <w:rsid w:val="001228C6"/>
    <w:rsid w:val="001230BA"/>
    <w:rsid w:val="001252F0"/>
    <w:rsid w:val="00134C7C"/>
    <w:rsid w:val="001376EE"/>
    <w:rsid w:val="00142E7C"/>
    <w:rsid w:val="0014601A"/>
    <w:rsid w:val="00154DA7"/>
    <w:rsid w:val="001605A4"/>
    <w:rsid w:val="00162682"/>
    <w:rsid w:val="0016671D"/>
    <w:rsid w:val="00171DE7"/>
    <w:rsid w:val="00172A27"/>
    <w:rsid w:val="00181256"/>
    <w:rsid w:val="0018468B"/>
    <w:rsid w:val="00184C32"/>
    <w:rsid w:val="00185B41"/>
    <w:rsid w:val="001872CA"/>
    <w:rsid w:val="0019338E"/>
    <w:rsid w:val="00194DDB"/>
    <w:rsid w:val="001A142E"/>
    <w:rsid w:val="001A34CD"/>
    <w:rsid w:val="001B0F98"/>
    <w:rsid w:val="001B1AD9"/>
    <w:rsid w:val="001B7C14"/>
    <w:rsid w:val="001C341D"/>
    <w:rsid w:val="001D1B00"/>
    <w:rsid w:val="001D63EA"/>
    <w:rsid w:val="001E2BE5"/>
    <w:rsid w:val="001F0F75"/>
    <w:rsid w:val="001F1245"/>
    <w:rsid w:val="001F17AC"/>
    <w:rsid w:val="001F1C53"/>
    <w:rsid w:val="001F1DBD"/>
    <w:rsid w:val="001F4493"/>
    <w:rsid w:val="001F7850"/>
    <w:rsid w:val="00201498"/>
    <w:rsid w:val="002028F7"/>
    <w:rsid w:val="002053AA"/>
    <w:rsid w:val="00207E2E"/>
    <w:rsid w:val="00217D17"/>
    <w:rsid w:val="0022408A"/>
    <w:rsid w:val="00225E20"/>
    <w:rsid w:val="00227C88"/>
    <w:rsid w:val="00234A2E"/>
    <w:rsid w:val="002360A6"/>
    <w:rsid w:val="002368E4"/>
    <w:rsid w:val="00237802"/>
    <w:rsid w:val="00242007"/>
    <w:rsid w:val="00244270"/>
    <w:rsid w:val="002469CA"/>
    <w:rsid w:val="0025262E"/>
    <w:rsid w:val="00255475"/>
    <w:rsid w:val="002703E5"/>
    <w:rsid w:val="00271C63"/>
    <w:rsid w:val="00271CB7"/>
    <w:rsid w:val="00274A92"/>
    <w:rsid w:val="00283E9A"/>
    <w:rsid w:val="002925DB"/>
    <w:rsid w:val="00292E57"/>
    <w:rsid w:val="002A00A9"/>
    <w:rsid w:val="002A06DA"/>
    <w:rsid w:val="002A43EB"/>
    <w:rsid w:val="002A5126"/>
    <w:rsid w:val="002A5759"/>
    <w:rsid w:val="002B1959"/>
    <w:rsid w:val="002B5CF4"/>
    <w:rsid w:val="002B6909"/>
    <w:rsid w:val="002D4CB2"/>
    <w:rsid w:val="002E09AA"/>
    <w:rsid w:val="002E531B"/>
    <w:rsid w:val="002E5D7D"/>
    <w:rsid w:val="002F2A2A"/>
    <w:rsid w:val="002F56F1"/>
    <w:rsid w:val="00303590"/>
    <w:rsid w:val="00311FA1"/>
    <w:rsid w:val="003219F7"/>
    <w:rsid w:val="003243BB"/>
    <w:rsid w:val="003274B3"/>
    <w:rsid w:val="003316B7"/>
    <w:rsid w:val="0033261B"/>
    <w:rsid w:val="003329AE"/>
    <w:rsid w:val="00334F7B"/>
    <w:rsid w:val="00343A4E"/>
    <w:rsid w:val="00344FEF"/>
    <w:rsid w:val="003506CC"/>
    <w:rsid w:val="00362989"/>
    <w:rsid w:val="003656BA"/>
    <w:rsid w:val="00367275"/>
    <w:rsid w:val="003723CC"/>
    <w:rsid w:val="003741B6"/>
    <w:rsid w:val="00376B88"/>
    <w:rsid w:val="00380B4E"/>
    <w:rsid w:val="00381DA7"/>
    <w:rsid w:val="00382326"/>
    <w:rsid w:val="00382E83"/>
    <w:rsid w:val="00391E77"/>
    <w:rsid w:val="003921FF"/>
    <w:rsid w:val="003937F5"/>
    <w:rsid w:val="00395650"/>
    <w:rsid w:val="003A1D65"/>
    <w:rsid w:val="003A3ABE"/>
    <w:rsid w:val="003A4D19"/>
    <w:rsid w:val="003B54D3"/>
    <w:rsid w:val="003C0933"/>
    <w:rsid w:val="003C3C8A"/>
    <w:rsid w:val="003C456D"/>
    <w:rsid w:val="003D0873"/>
    <w:rsid w:val="003D11DE"/>
    <w:rsid w:val="003D210D"/>
    <w:rsid w:val="003D5471"/>
    <w:rsid w:val="003E0C6B"/>
    <w:rsid w:val="003E3018"/>
    <w:rsid w:val="003E579A"/>
    <w:rsid w:val="003E6C92"/>
    <w:rsid w:val="003F6938"/>
    <w:rsid w:val="004022E8"/>
    <w:rsid w:val="004108F3"/>
    <w:rsid w:val="00411CDA"/>
    <w:rsid w:val="00414955"/>
    <w:rsid w:val="00415E47"/>
    <w:rsid w:val="00416150"/>
    <w:rsid w:val="004263AB"/>
    <w:rsid w:val="004266E4"/>
    <w:rsid w:val="00426FAB"/>
    <w:rsid w:val="00430940"/>
    <w:rsid w:val="00431EC6"/>
    <w:rsid w:val="004347CC"/>
    <w:rsid w:val="00441659"/>
    <w:rsid w:val="00447B10"/>
    <w:rsid w:val="00450671"/>
    <w:rsid w:val="004528C2"/>
    <w:rsid w:val="004531F6"/>
    <w:rsid w:val="00470AA2"/>
    <w:rsid w:val="00476F31"/>
    <w:rsid w:val="00477823"/>
    <w:rsid w:val="004847E9"/>
    <w:rsid w:val="00484D83"/>
    <w:rsid w:val="004916AD"/>
    <w:rsid w:val="00492F0B"/>
    <w:rsid w:val="004A1059"/>
    <w:rsid w:val="004A35B3"/>
    <w:rsid w:val="004A59A7"/>
    <w:rsid w:val="004B1DD5"/>
    <w:rsid w:val="004B36A7"/>
    <w:rsid w:val="004B3E07"/>
    <w:rsid w:val="004B5328"/>
    <w:rsid w:val="004C1E5D"/>
    <w:rsid w:val="004C4407"/>
    <w:rsid w:val="004C4A74"/>
    <w:rsid w:val="004C658E"/>
    <w:rsid w:val="004D0F01"/>
    <w:rsid w:val="004D7D9C"/>
    <w:rsid w:val="004E5574"/>
    <w:rsid w:val="004F6259"/>
    <w:rsid w:val="00500B36"/>
    <w:rsid w:val="0050267D"/>
    <w:rsid w:val="00516BF2"/>
    <w:rsid w:val="00522A37"/>
    <w:rsid w:val="00523187"/>
    <w:rsid w:val="005250B3"/>
    <w:rsid w:val="005274BC"/>
    <w:rsid w:val="00531A3A"/>
    <w:rsid w:val="00532670"/>
    <w:rsid w:val="00546D89"/>
    <w:rsid w:val="0054768B"/>
    <w:rsid w:val="00554F37"/>
    <w:rsid w:val="00561E68"/>
    <w:rsid w:val="00576C10"/>
    <w:rsid w:val="0057770C"/>
    <w:rsid w:val="00580B82"/>
    <w:rsid w:val="0058373B"/>
    <w:rsid w:val="00587642"/>
    <w:rsid w:val="0059053E"/>
    <w:rsid w:val="00592665"/>
    <w:rsid w:val="00592A48"/>
    <w:rsid w:val="005A0AEA"/>
    <w:rsid w:val="005A2841"/>
    <w:rsid w:val="005A5A25"/>
    <w:rsid w:val="005B0192"/>
    <w:rsid w:val="005B21AE"/>
    <w:rsid w:val="005B3EE8"/>
    <w:rsid w:val="005C0695"/>
    <w:rsid w:val="005C63F7"/>
    <w:rsid w:val="005D0372"/>
    <w:rsid w:val="005D1DA0"/>
    <w:rsid w:val="005D6774"/>
    <w:rsid w:val="005D71F6"/>
    <w:rsid w:val="005D7476"/>
    <w:rsid w:val="005F1836"/>
    <w:rsid w:val="005F2737"/>
    <w:rsid w:val="005F650E"/>
    <w:rsid w:val="005F7192"/>
    <w:rsid w:val="005F7455"/>
    <w:rsid w:val="00603DA7"/>
    <w:rsid w:val="00606A42"/>
    <w:rsid w:val="00607308"/>
    <w:rsid w:val="006109E8"/>
    <w:rsid w:val="00612B11"/>
    <w:rsid w:val="0061423E"/>
    <w:rsid w:val="006159F7"/>
    <w:rsid w:val="006219CC"/>
    <w:rsid w:val="006236B0"/>
    <w:rsid w:val="00626671"/>
    <w:rsid w:val="0063008A"/>
    <w:rsid w:val="00630BA6"/>
    <w:rsid w:val="00631A1C"/>
    <w:rsid w:val="00636FDB"/>
    <w:rsid w:val="00651A61"/>
    <w:rsid w:val="0065289E"/>
    <w:rsid w:val="006568AA"/>
    <w:rsid w:val="0066628B"/>
    <w:rsid w:val="006743BD"/>
    <w:rsid w:val="0068550E"/>
    <w:rsid w:val="0069011F"/>
    <w:rsid w:val="0069307B"/>
    <w:rsid w:val="006A0461"/>
    <w:rsid w:val="006A12FA"/>
    <w:rsid w:val="006A1532"/>
    <w:rsid w:val="006A2DAE"/>
    <w:rsid w:val="006B0C7F"/>
    <w:rsid w:val="006B2D78"/>
    <w:rsid w:val="006B3C56"/>
    <w:rsid w:val="006B6D33"/>
    <w:rsid w:val="006D69EC"/>
    <w:rsid w:val="006F7781"/>
    <w:rsid w:val="00706ABD"/>
    <w:rsid w:val="00710480"/>
    <w:rsid w:val="00710953"/>
    <w:rsid w:val="00710AC6"/>
    <w:rsid w:val="00720BD1"/>
    <w:rsid w:val="00734B8E"/>
    <w:rsid w:val="00735C9D"/>
    <w:rsid w:val="007409B9"/>
    <w:rsid w:val="00741865"/>
    <w:rsid w:val="00747D7E"/>
    <w:rsid w:val="00755A17"/>
    <w:rsid w:val="0075690C"/>
    <w:rsid w:val="00761900"/>
    <w:rsid w:val="00762A75"/>
    <w:rsid w:val="0077054E"/>
    <w:rsid w:val="00770E3D"/>
    <w:rsid w:val="00771A22"/>
    <w:rsid w:val="00775019"/>
    <w:rsid w:val="00775594"/>
    <w:rsid w:val="00781D43"/>
    <w:rsid w:val="00782AFB"/>
    <w:rsid w:val="00783F46"/>
    <w:rsid w:val="007C76A8"/>
    <w:rsid w:val="007D0D62"/>
    <w:rsid w:val="007D37CA"/>
    <w:rsid w:val="007E4844"/>
    <w:rsid w:val="007E5849"/>
    <w:rsid w:val="007F2D50"/>
    <w:rsid w:val="007F31BF"/>
    <w:rsid w:val="007F3F01"/>
    <w:rsid w:val="00804030"/>
    <w:rsid w:val="008053A6"/>
    <w:rsid w:val="0081068C"/>
    <w:rsid w:val="00811A33"/>
    <w:rsid w:val="008141D2"/>
    <w:rsid w:val="008165A5"/>
    <w:rsid w:val="00817E85"/>
    <w:rsid w:val="00822784"/>
    <w:rsid w:val="00835310"/>
    <w:rsid w:val="008456CA"/>
    <w:rsid w:val="00857E19"/>
    <w:rsid w:val="00861FC3"/>
    <w:rsid w:val="0086666A"/>
    <w:rsid w:val="008672FD"/>
    <w:rsid w:val="008674F4"/>
    <w:rsid w:val="00872B28"/>
    <w:rsid w:val="00873402"/>
    <w:rsid w:val="00873BD0"/>
    <w:rsid w:val="008752A7"/>
    <w:rsid w:val="00875AAF"/>
    <w:rsid w:val="00875DFD"/>
    <w:rsid w:val="008824C9"/>
    <w:rsid w:val="00884A01"/>
    <w:rsid w:val="00885015"/>
    <w:rsid w:val="008860B4"/>
    <w:rsid w:val="008873CF"/>
    <w:rsid w:val="00890134"/>
    <w:rsid w:val="008940C5"/>
    <w:rsid w:val="0089756D"/>
    <w:rsid w:val="008A4B42"/>
    <w:rsid w:val="008A6484"/>
    <w:rsid w:val="008B2FFF"/>
    <w:rsid w:val="008B3019"/>
    <w:rsid w:val="008B60E9"/>
    <w:rsid w:val="008C3FED"/>
    <w:rsid w:val="008D0919"/>
    <w:rsid w:val="008E0006"/>
    <w:rsid w:val="008E0243"/>
    <w:rsid w:val="008E1A8D"/>
    <w:rsid w:val="008E369B"/>
    <w:rsid w:val="008F3F4A"/>
    <w:rsid w:val="008F42AA"/>
    <w:rsid w:val="008F686C"/>
    <w:rsid w:val="009073A8"/>
    <w:rsid w:val="009124DA"/>
    <w:rsid w:val="00920E07"/>
    <w:rsid w:val="00921C14"/>
    <w:rsid w:val="00922977"/>
    <w:rsid w:val="0092436A"/>
    <w:rsid w:val="0092744D"/>
    <w:rsid w:val="00927E0C"/>
    <w:rsid w:val="00931172"/>
    <w:rsid w:val="009326C2"/>
    <w:rsid w:val="00933FAF"/>
    <w:rsid w:val="009415A8"/>
    <w:rsid w:val="00944F46"/>
    <w:rsid w:val="0095354C"/>
    <w:rsid w:val="00955D23"/>
    <w:rsid w:val="009575C7"/>
    <w:rsid w:val="009659FD"/>
    <w:rsid w:val="009751B4"/>
    <w:rsid w:val="0098049C"/>
    <w:rsid w:val="009A2ACB"/>
    <w:rsid w:val="009A30F4"/>
    <w:rsid w:val="009B0375"/>
    <w:rsid w:val="009B209D"/>
    <w:rsid w:val="009B3329"/>
    <w:rsid w:val="009B3E34"/>
    <w:rsid w:val="009C6EDA"/>
    <w:rsid w:val="009E0BA2"/>
    <w:rsid w:val="009E4EE7"/>
    <w:rsid w:val="009E6BFA"/>
    <w:rsid w:val="009F1A13"/>
    <w:rsid w:val="009F4889"/>
    <w:rsid w:val="00A0044F"/>
    <w:rsid w:val="00A01343"/>
    <w:rsid w:val="00A026DE"/>
    <w:rsid w:val="00A04758"/>
    <w:rsid w:val="00A0499C"/>
    <w:rsid w:val="00A077D3"/>
    <w:rsid w:val="00A26604"/>
    <w:rsid w:val="00A26833"/>
    <w:rsid w:val="00A34219"/>
    <w:rsid w:val="00A37BBE"/>
    <w:rsid w:val="00A43D80"/>
    <w:rsid w:val="00A45BC0"/>
    <w:rsid w:val="00A476EC"/>
    <w:rsid w:val="00A55506"/>
    <w:rsid w:val="00A61FB2"/>
    <w:rsid w:val="00A6319B"/>
    <w:rsid w:val="00A665E8"/>
    <w:rsid w:val="00A72E1F"/>
    <w:rsid w:val="00A730E0"/>
    <w:rsid w:val="00A74745"/>
    <w:rsid w:val="00A74B2F"/>
    <w:rsid w:val="00A77577"/>
    <w:rsid w:val="00A803D1"/>
    <w:rsid w:val="00A90787"/>
    <w:rsid w:val="00A96D23"/>
    <w:rsid w:val="00A97709"/>
    <w:rsid w:val="00AA0437"/>
    <w:rsid w:val="00AA6634"/>
    <w:rsid w:val="00AA7341"/>
    <w:rsid w:val="00AB0BD5"/>
    <w:rsid w:val="00AC0642"/>
    <w:rsid w:val="00AD4148"/>
    <w:rsid w:val="00AD5ADE"/>
    <w:rsid w:val="00AE0036"/>
    <w:rsid w:val="00AE2268"/>
    <w:rsid w:val="00AE227E"/>
    <w:rsid w:val="00AE3F67"/>
    <w:rsid w:val="00AF5E96"/>
    <w:rsid w:val="00AF6E7C"/>
    <w:rsid w:val="00B04764"/>
    <w:rsid w:val="00B06940"/>
    <w:rsid w:val="00B10704"/>
    <w:rsid w:val="00B13CD3"/>
    <w:rsid w:val="00B16E51"/>
    <w:rsid w:val="00B25D70"/>
    <w:rsid w:val="00B36BDA"/>
    <w:rsid w:val="00B3747D"/>
    <w:rsid w:val="00B37840"/>
    <w:rsid w:val="00B43EB8"/>
    <w:rsid w:val="00B44004"/>
    <w:rsid w:val="00B44E63"/>
    <w:rsid w:val="00B5443F"/>
    <w:rsid w:val="00B621DF"/>
    <w:rsid w:val="00B6652E"/>
    <w:rsid w:val="00B77B12"/>
    <w:rsid w:val="00B81DEF"/>
    <w:rsid w:val="00B83D9A"/>
    <w:rsid w:val="00B84626"/>
    <w:rsid w:val="00B969F2"/>
    <w:rsid w:val="00B96F9D"/>
    <w:rsid w:val="00B970AD"/>
    <w:rsid w:val="00B975DA"/>
    <w:rsid w:val="00B97DFC"/>
    <w:rsid w:val="00BA127C"/>
    <w:rsid w:val="00BA161C"/>
    <w:rsid w:val="00BA4503"/>
    <w:rsid w:val="00BA5EFA"/>
    <w:rsid w:val="00BA662A"/>
    <w:rsid w:val="00BB0D0F"/>
    <w:rsid w:val="00BB7CE0"/>
    <w:rsid w:val="00BB7FF5"/>
    <w:rsid w:val="00BC0BC9"/>
    <w:rsid w:val="00BC2093"/>
    <w:rsid w:val="00BD1E96"/>
    <w:rsid w:val="00BD5959"/>
    <w:rsid w:val="00BD66C7"/>
    <w:rsid w:val="00BD734F"/>
    <w:rsid w:val="00BD73B4"/>
    <w:rsid w:val="00BE14B6"/>
    <w:rsid w:val="00BE3312"/>
    <w:rsid w:val="00BF03F1"/>
    <w:rsid w:val="00BF1923"/>
    <w:rsid w:val="00BF4C07"/>
    <w:rsid w:val="00C00740"/>
    <w:rsid w:val="00C07875"/>
    <w:rsid w:val="00C116A5"/>
    <w:rsid w:val="00C121AA"/>
    <w:rsid w:val="00C138A9"/>
    <w:rsid w:val="00C150CE"/>
    <w:rsid w:val="00C26E65"/>
    <w:rsid w:val="00C356CD"/>
    <w:rsid w:val="00C36DC4"/>
    <w:rsid w:val="00C3726E"/>
    <w:rsid w:val="00C45489"/>
    <w:rsid w:val="00C47ED6"/>
    <w:rsid w:val="00C50E2D"/>
    <w:rsid w:val="00C534EA"/>
    <w:rsid w:val="00C560F5"/>
    <w:rsid w:val="00C60903"/>
    <w:rsid w:val="00C637E3"/>
    <w:rsid w:val="00C67622"/>
    <w:rsid w:val="00C821F3"/>
    <w:rsid w:val="00C8566A"/>
    <w:rsid w:val="00C85763"/>
    <w:rsid w:val="00C86506"/>
    <w:rsid w:val="00C9423C"/>
    <w:rsid w:val="00C97CB0"/>
    <w:rsid w:val="00C97DD1"/>
    <w:rsid w:val="00CB2415"/>
    <w:rsid w:val="00CC2EDC"/>
    <w:rsid w:val="00CD2287"/>
    <w:rsid w:val="00CD2F8D"/>
    <w:rsid w:val="00CF110E"/>
    <w:rsid w:val="00CF1565"/>
    <w:rsid w:val="00CF3F33"/>
    <w:rsid w:val="00CF7126"/>
    <w:rsid w:val="00D05C48"/>
    <w:rsid w:val="00D10220"/>
    <w:rsid w:val="00D11A5B"/>
    <w:rsid w:val="00D132EE"/>
    <w:rsid w:val="00D1645B"/>
    <w:rsid w:val="00D1757B"/>
    <w:rsid w:val="00D17B7F"/>
    <w:rsid w:val="00D2172F"/>
    <w:rsid w:val="00D240A0"/>
    <w:rsid w:val="00D3073D"/>
    <w:rsid w:val="00D37849"/>
    <w:rsid w:val="00D46145"/>
    <w:rsid w:val="00D51ADF"/>
    <w:rsid w:val="00D52D92"/>
    <w:rsid w:val="00D55BDE"/>
    <w:rsid w:val="00D64671"/>
    <w:rsid w:val="00D64AE1"/>
    <w:rsid w:val="00D70CC4"/>
    <w:rsid w:val="00D71B51"/>
    <w:rsid w:val="00D77DB9"/>
    <w:rsid w:val="00D80114"/>
    <w:rsid w:val="00D85734"/>
    <w:rsid w:val="00D85E03"/>
    <w:rsid w:val="00D865B1"/>
    <w:rsid w:val="00D94AB0"/>
    <w:rsid w:val="00D9608E"/>
    <w:rsid w:val="00DA0066"/>
    <w:rsid w:val="00DA12BC"/>
    <w:rsid w:val="00DA464C"/>
    <w:rsid w:val="00DA60E7"/>
    <w:rsid w:val="00DA7C19"/>
    <w:rsid w:val="00DB3647"/>
    <w:rsid w:val="00DB498D"/>
    <w:rsid w:val="00DB4AC6"/>
    <w:rsid w:val="00DB71C8"/>
    <w:rsid w:val="00DC0070"/>
    <w:rsid w:val="00DC10A0"/>
    <w:rsid w:val="00DC4F19"/>
    <w:rsid w:val="00DC5841"/>
    <w:rsid w:val="00DD1594"/>
    <w:rsid w:val="00DD39C4"/>
    <w:rsid w:val="00DE0434"/>
    <w:rsid w:val="00DE2F27"/>
    <w:rsid w:val="00DE2FBB"/>
    <w:rsid w:val="00DE4F1C"/>
    <w:rsid w:val="00DE644E"/>
    <w:rsid w:val="00DF48F7"/>
    <w:rsid w:val="00E05110"/>
    <w:rsid w:val="00E21DF5"/>
    <w:rsid w:val="00E21E5E"/>
    <w:rsid w:val="00E23AA0"/>
    <w:rsid w:val="00E2464C"/>
    <w:rsid w:val="00E25F21"/>
    <w:rsid w:val="00E31B10"/>
    <w:rsid w:val="00E37784"/>
    <w:rsid w:val="00E40E72"/>
    <w:rsid w:val="00E51D01"/>
    <w:rsid w:val="00E54217"/>
    <w:rsid w:val="00E54A62"/>
    <w:rsid w:val="00E73DC5"/>
    <w:rsid w:val="00E75DEE"/>
    <w:rsid w:val="00E75EF9"/>
    <w:rsid w:val="00E90026"/>
    <w:rsid w:val="00E917D5"/>
    <w:rsid w:val="00E923C5"/>
    <w:rsid w:val="00E95B75"/>
    <w:rsid w:val="00E96304"/>
    <w:rsid w:val="00E96D28"/>
    <w:rsid w:val="00EA28C8"/>
    <w:rsid w:val="00EA4B2F"/>
    <w:rsid w:val="00EA5933"/>
    <w:rsid w:val="00EA71EE"/>
    <w:rsid w:val="00EB0374"/>
    <w:rsid w:val="00EB4B75"/>
    <w:rsid w:val="00EB52A9"/>
    <w:rsid w:val="00EB682D"/>
    <w:rsid w:val="00EB7652"/>
    <w:rsid w:val="00EC2218"/>
    <w:rsid w:val="00EC3719"/>
    <w:rsid w:val="00EC4438"/>
    <w:rsid w:val="00EC6D09"/>
    <w:rsid w:val="00EF6D8E"/>
    <w:rsid w:val="00F139B1"/>
    <w:rsid w:val="00F15EAF"/>
    <w:rsid w:val="00F17C80"/>
    <w:rsid w:val="00F27441"/>
    <w:rsid w:val="00F317A2"/>
    <w:rsid w:val="00F31CCF"/>
    <w:rsid w:val="00F338D8"/>
    <w:rsid w:val="00F347B6"/>
    <w:rsid w:val="00F3551D"/>
    <w:rsid w:val="00F4054A"/>
    <w:rsid w:val="00F40593"/>
    <w:rsid w:val="00F53CFB"/>
    <w:rsid w:val="00F553B7"/>
    <w:rsid w:val="00F57EC7"/>
    <w:rsid w:val="00F61D7A"/>
    <w:rsid w:val="00F6448E"/>
    <w:rsid w:val="00F65675"/>
    <w:rsid w:val="00F66B36"/>
    <w:rsid w:val="00F73178"/>
    <w:rsid w:val="00F758D6"/>
    <w:rsid w:val="00F77C5E"/>
    <w:rsid w:val="00F80363"/>
    <w:rsid w:val="00F81E42"/>
    <w:rsid w:val="00F83F55"/>
    <w:rsid w:val="00F84DF8"/>
    <w:rsid w:val="00F904C7"/>
    <w:rsid w:val="00F97D67"/>
    <w:rsid w:val="00FA089B"/>
    <w:rsid w:val="00FB57D6"/>
    <w:rsid w:val="00FB62F7"/>
    <w:rsid w:val="00FC00AE"/>
    <w:rsid w:val="00FC4A1B"/>
    <w:rsid w:val="00FC6DC1"/>
    <w:rsid w:val="00FD3319"/>
    <w:rsid w:val="00FD63F8"/>
    <w:rsid w:val="00FE3E72"/>
    <w:rsid w:val="00FE5759"/>
    <w:rsid w:val="00FE639C"/>
    <w:rsid w:val="00FE7A15"/>
    <w:rsid w:val="01101675"/>
    <w:rsid w:val="01943C09"/>
    <w:rsid w:val="01A018C0"/>
    <w:rsid w:val="01AA78BE"/>
    <w:rsid w:val="01D304E2"/>
    <w:rsid w:val="01F60682"/>
    <w:rsid w:val="021833E1"/>
    <w:rsid w:val="027728BA"/>
    <w:rsid w:val="02D37AB4"/>
    <w:rsid w:val="02EC4AC7"/>
    <w:rsid w:val="03A809C9"/>
    <w:rsid w:val="040C0819"/>
    <w:rsid w:val="04154A81"/>
    <w:rsid w:val="04167D9F"/>
    <w:rsid w:val="04691294"/>
    <w:rsid w:val="046917C8"/>
    <w:rsid w:val="04855B37"/>
    <w:rsid w:val="04EE0D00"/>
    <w:rsid w:val="04EE0EA8"/>
    <w:rsid w:val="04FE63B4"/>
    <w:rsid w:val="0530263E"/>
    <w:rsid w:val="0564761D"/>
    <w:rsid w:val="057C3362"/>
    <w:rsid w:val="05B44CC5"/>
    <w:rsid w:val="05D0614D"/>
    <w:rsid w:val="061D286A"/>
    <w:rsid w:val="068B1EC9"/>
    <w:rsid w:val="07104EDB"/>
    <w:rsid w:val="076E3B49"/>
    <w:rsid w:val="07835282"/>
    <w:rsid w:val="07A676A0"/>
    <w:rsid w:val="07D16002"/>
    <w:rsid w:val="0827108D"/>
    <w:rsid w:val="08344161"/>
    <w:rsid w:val="08900706"/>
    <w:rsid w:val="08942BBC"/>
    <w:rsid w:val="08E26CE4"/>
    <w:rsid w:val="09264DF5"/>
    <w:rsid w:val="09617F19"/>
    <w:rsid w:val="09D1582A"/>
    <w:rsid w:val="09DE379C"/>
    <w:rsid w:val="09EA33AB"/>
    <w:rsid w:val="09FE487C"/>
    <w:rsid w:val="0A171CC6"/>
    <w:rsid w:val="0A18019D"/>
    <w:rsid w:val="0A545D5A"/>
    <w:rsid w:val="0A9D11AB"/>
    <w:rsid w:val="0AC05EBA"/>
    <w:rsid w:val="0B046EA7"/>
    <w:rsid w:val="0B052C25"/>
    <w:rsid w:val="0B0F6181"/>
    <w:rsid w:val="0B223FD8"/>
    <w:rsid w:val="0B361BD7"/>
    <w:rsid w:val="0B3B00BD"/>
    <w:rsid w:val="0B5674F3"/>
    <w:rsid w:val="0B5E5DFE"/>
    <w:rsid w:val="0B68405A"/>
    <w:rsid w:val="0BA81DB6"/>
    <w:rsid w:val="0BAA5B9D"/>
    <w:rsid w:val="0BED35B4"/>
    <w:rsid w:val="0BF73E1C"/>
    <w:rsid w:val="0C2846EE"/>
    <w:rsid w:val="0C525237"/>
    <w:rsid w:val="0C9475FE"/>
    <w:rsid w:val="0C994C14"/>
    <w:rsid w:val="0CF10955"/>
    <w:rsid w:val="0D061266"/>
    <w:rsid w:val="0D60203A"/>
    <w:rsid w:val="0DCB52A1"/>
    <w:rsid w:val="0E122ED0"/>
    <w:rsid w:val="0E1924A3"/>
    <w:rsid w:val="0E2A3A86"/>
    <w:rsid w:val="0E3D0946"/>
    <w:rsid w:val="0E3D49AD"/>
    <w:rsid w:val="0E4767B0"/>
    <w:rsid w:val="0E6F3E7F"/>
    <w:rsid w:val="0E73244E"/>
    <w:rsid w:val="0E8D5032"/>
    <w:rsid w:val="0EE27DF6"/>
    <w:rsid w:val="0EF7177E"/>
    <w:rsid w:val="0F412F16"/>
    <w:rsid w:val="0F4818C3"/>
    <w:rsid w:val="0F4A0492"/>
    <w:rsid w:val="0F4C33C4"/>
    <w:rsid w:val="0F6F0B2E"/>
    <w:rsid w:val="0FC022DE"/>
    <w:rsid w:val="101521CC"/>
    <w:rsid w:val="101D0413"/>
    <w:rsid w:val="10687C1A"/>
    <w:rsid w:val="10CA44A2"/>
    <w:rsid w:val="10F7015B"/>
    <w:rsid w:val="113A191B"/>
    <w:rsid w:val="118F08B5"/>
    <w:rsid w:val="11A80576"/>
    <w:rsid w:val="11A90272"/>
    <w:rsid w:val="11C0373B"/>
    <w:rsid w:val="11DE386A"/>
    <w:rsid w:val="122A4C8C"/>
    <w:rsid w:val="1266271E"/>
    <w:rsid w:val="12A63DE9"/>
    <w:rsid w:val="12B05383"/>
    <w:rsid w:val="12DC351D"/>
    <w:rsid w:val="12DC585B"/>
    <w:rsid w:val="12F06155"/>
    <w:rsid w:val="137553BF"/>
    <w:rsid w:val="138C102F"/>
    <w:rsid w:val="141A488D"/>
    <w:rsid w:val="1426762D"/>
    <w:rsid w:val="14D7277E"/>
    <w:rsid w:val="14F53B82"/>
    <w:rsid w:val="14F94403"/>
    <w:rsid w:val="150D19C6"/>
    <w:rsid w:val="154D6D9A"/>
    <w:rsid w:val="155E448E"/>
    <w:rsid w:val="15893B9E"/>
    <w:rsid w:val="15A765F4"/>
    <w:rsid w:val="15A9478B"/>
    <w:rsid w:val="15E56E12"/>
    <w:rsid w:val="15F26355"/>
    <w:rsid w:val="16516799"/>
    <w:rsid w:val="1654353F"/>
    <w:rsid w:val="165C118C"/>
    <w:rsid w:val="167E30C0"/>
    <w:rsid w:val="169058A8"/>
    <w:rsid w:val="169F72CB"/>
    <w:rsid w:val="16E85404"/>
    <w:rsid w:val="16EB42BE"/>
    <w:rsid w:val="17334A86"/>
    <w:rsid w:val="17EA54F5"/>
    <w:rsid w:val="17F013DA"/>
    <w:rsid w:val="17F23CEB"/>
    <w:rsid w:val="183D0B4A"/>
    <w:rsid w:val="183F66D6"/>
    <w:rsid w:val="18624A54"/>
    <w:rsid w:val="18B52CB5"/>
    <w:rsid w:val="18DB1C64"/>
    <w:rsid w:val="19014605"/>
    <w:rsid w:val="196A3BC0"/>
    <w:rsid w:val="19A04888"/>
    <w:rsid w:val="19DD3222"/>
    <w:rsid w:val="19E3174F"/>
    <w:rsid w:val="1A316A0B"/>
    <w:rsid w:val="1A583F1D"/>
    <w:rsid w:val="1A641449"/>
    <w:rsid w:val="1A6F2200"/>
    <w:rsid w:val="1B273005"/>
    <w:rsid w:val="1B9C202B"/>
    <w:rsid w:val="1BAF6202"/>
    <w:rsid w:val="1BBE01F3"/>
    <w:rsid w:val="1C4347EB"/>
    <w:rsid w:val="1CA36C49"/>
    <w:rsid w:val="1CDE1D49"/>
    <w:rsid w:val="1CE60291"/>
    <w:rsid w:val="1CE636CE"/>
    <w:rsid w:val="1CEC6DB3"/>
    <w:rsid w:val="1D0E2879"/>
    <w:rsid w:val="1D37626F"/>
    <w:rsid w:val="1D903419"/>
    <w:rsid w:val="1DC064A5"/>
    <w:rsid w:val="1E5C2ECF"/>
    <w:rsid w:val="1E5D4D16"/>
    <w:rsid w:val="1E8A6AB3"/>
    <w:rsid w:val="1E921EBF"/>
    <w:rsid w:val="1ED869CE"/>
    <w:rsid w:val="1EF86EC7"/>
    <w:rsid w:val="1F43738D"/>
    <w:rsid w:val="1F4A5E77"/>
    <w:rsid w:val="1F996368"/>
    <w:rsid w:val="20032F22"/>
    <w:rsid w:val="203C25A0"/>
    <w:rsid w:val="205C7FDB"/>
    <w:rsid w:val="205D1F10"/>
    <w:rsid w:val="208D5CAB"/>
    <w:rsid w:val="20A801D2"/>
    <w:rsid w:val="21352D06"/>
    <w:rsid w:val="21404558"/>
    <w:rsid w:val="21846149"/>
    <w:rsid w:val="21A25EC1"/>
    <w:rsid w:val="21FA7AAB"/>
    <w:rsid w:val="221E0696"/>
    <w:rsid w:val="22782720"/>
    <w:rsid w:val="22D60519"/>
    <w:rsid w:val="22E5248F"/>
    <w:rsid w:val="23117571"/>
    <w:rsid w:val="23756B35"/>
    <w:rsid w:val="237D0B9C"/>
    <w:rsid w:val="239837EE"/>
    <w:rsid w:val="23B14A12"/>
    <w:rsid w:val="23CC1035"/>
    <w:rsid w:val="23FF75FB"/>
    <w:rsid w:val="24021793"/>
    <w:rsid w:val="24042E6E"/>
    <w:rsid w:val="241938C6"/>
    <w:rsid w:val="24BB5074"/>
    <w:rsid w:val="24BE1264"/>
    <w:rsid w:val="25290DD3"/>
    <w:rsid w:val="254479BB"/>
    <w:rsid w:val="25781413"/>
    <w:rsid w:val="25AB3D1C"/>
    <w:rsid w:val="26483B0A"/>
    <w:rsid w:val="266E3705"/>
    <w:rsid w:val="2671601B"/>
    <w:rsid w:val="267A6A29"/>
    <w:rsid w:val="26B34286"/>
    <w:rsid w:val="272B182C"/>
    <w:rsid w:val="27914A0E"/>
    <w:rsid w:val="27A35230"/>
    <w:rsid w:val="27CD5702"/>
    <w:rsid w:val="27F72E87"/>
    <w:rsid w:val="28133675"/>
    <w:rsid w:val="281444A5"/>
    <w:rsid w:val="285C4246"/>
    <w:rsid w:val="289B28BA"/>
    <w:rsid w:val="29143B49"/>
    <w:rsid w:val="29673C78"/>
    <w:rsid w:val="298968E2"/>
    <w:rsid w:val="299C2098"/>
    <w:rsid w:val="299E4777"/>
    <w:rsid w:val="29AE4114"/>
    <w:rsid w:val="2A187D66"/>
    <w:rsid w:val="2A1B3957"/>
    <w:rsid w:val="2A557F75"/>
    <w:rsid w:val="2A73489F"/>
    <w:rsid w:val="2AD55FB6"/>
    <w:rsid w:val="2AF7727E"/>
    <w:rsid w:val="2B094197"/>
    <w:rsid w:val="2B426B1F"/>
    <w:rsid w:val="2B51399B"/>
    <w:rsid w:val="2B836D64"/>
    <w:rsid w:val="2BCF1785"/>
    <w:rsid w:val="2BE10DCA"/>
    <w:rsid w:val="2C0E6144"/>
    <w:rsid w:val="2C3B13EC"/>
    <w:rsid w:val="2C606805"/>
    <w:rsid w:val="2C712DD1"/>
    <w:rsid w:val="2CB62AD4"/>
    <w:rsid w:val="2CDF7FCA"/>
    <w:rsid w:val="2D291501"/>
    <w:rsid w:val="2D3E7B36"/>
    <w:rsid w:val="2D524C40"/>
    <w:rsid w:val="2DD271C5"/>
    <w:rsid w:val="2E616171"/>
    <w:rsid w:val="2E7C693F"/>
    <w:rsid w:val="2E7E3968"/>
    <w:rsid w:val="2E8C7E68"/>
    <w:rsid w:val="2ED14AE4"/>
    <w:rsid w:val="2EE9151D"/>
    <w:rsid w:val="2EF4224A"/>
    <w:rsid w:val="2F283EAA"/>
    <w:rsid w:val="2F6E01C7"/>
    <w:rsid w:val="2F9037FD"/>
    <w:rsid w:val="2FEA115F"/>
    <w:rsid w:val="30506105"/>
    <w:rsid w:val="306A5958"/>
    <w:rsid w:val="30B31668"/>
    <w:rsid w:val="30B818A6"/>
    <w:rsid w:val="314E571E"/>
    <w:rsid w:val="318C4BC4"/>
    <w:rsid w:val="31D37702"/>
    <w:rsid w:val="31DE15A1"/>
    <w:rsid w:val="32717916"/>
    <w:rsid w:val="327B2649"/>
    <w:rsid w:val="32845AD2"/>
    <w:rsid w:val="32936629"/>
    <w:rsid w:val="32A001FB"/>
    <w:rsid w:val="32E511F3"/>
    <w:rsid w:val="32FC3357"/>
    <w:rsid w:val="331D184C"/>
    <w:rsid w:val="337D0918"/>
    <w:rsid w:val="33955886"/>
    <w:rsid w:val="33AE201B"/>
    <w:rsid w:val="33F374F1"/>
    <w:rsid w:val="340E1ED8"/>
    <w:rsid w:val="34213072"/>
    <w:rsid w:val="346516FC"/>
    <w:rsid w:val="34DF4037"/>
    <w:rsid w:val="3504793C"/>
    <w:rsid w:val="3532729D"/>
    <w:rsid w:val="3541270C"/>
    <w:rsid w:val="358D4A67"/>
    <w:rsid w:val="358E09EE"/>
    <w:rsid w:val="35964985"/>
    <w:rsid w:val="35FA5809"/>
    <w:rsid w:val="36315D3A"/>
    <w:rsid w:val="36486BE0"/>
    <w:rsid w:val="36603F29"/>
    <w:rsid w:val="366B6B6A"/>
    <w:rsid w:val="36B42063"/>
    <w:rsid w:val="36BE50F4"/>
    <w:rsid w:val="36C56482"/>
    <w:rsid w:val="36DB63D9"/>
    <w:rsid w:val="377F2AD5"/>
    <w:rsid w:val="379F0A81"/>
    <w:rsid w:val="37CC1165"/>
    <w:rsid w:val="38563E31"/>
    <w:rsid w:val="389325BD"/>
    <w:rsid w:val="394A2C6F"/>
    <w:rsid w:val="396D1E81"/>
    <w:rsid w:val="39AB2E16"/>
    <w:rsid w:val="39C42A21"/>
    <w:rsid w:val="3A7F2C12"/>
    <w:rsid w:val="3AEC0481"/>
    <w:rsid w:val="3AFD61EB"/>
    <w:rsid w:val="3B0C146E"/>
    <w:rsid w:val="3B2B31D3"/>
    <w:rsid w:val="3B443E1A"/>
    <w:rsid w:val="3B547DD5"/>
    <w:rsid w:val="3C502C92"/>
    <w:rsid w:val="3C562EF0"/>
    <w:rsid w:val="3C964B49"/>
    <w:rsid w:val="3D212DBD"/>
    <w:rsid w:val="3D6320AE"/>
    <w:rsid w:val="3D9203E1"/>
    <w:rsid w:val="3D9879CB"/>
    <w:rsid w:val="3DDC1A60"/>
    <w:rsid w:val="3DE32D35"/>
    <w:rsid w:val="3E104487"/>
    <w:rsid w:val="3E263682"/>
    <w:rsid w:val="3E38578C"/>
    <w:rsid w:val="3E515DB5"/>
    <w:rsid w:val="3F334343"/>
    <w:rsid w:val="3F400D9C"/>
    <w:rsid w:val="3F506CE9"/>
    <w:rsid w:val="3F7C0BA0"/>
    <w:rsid w:val="3F9A07D6"/>
    <w:rsid w:val="3FC4377B"/>
    <w:rsid w:val="3FFF2ED5"/>
    <w:rsid w:val="400C0C7E"/>
    <w:rsid w:val="401909D5"/>
    <w:rsid w:val="40224073"/>
    <w:rsid w:val="408568A5"/>
    <w:rsid w:val="40B21DCD"/>
    <w:rsid w:val="40B80B3B"/>
    <w:rsid w:val="40F40090"/>
    <w:rsid w:val="41055DF9"/>
    <w:rsid w:val="4117228B"/>
    <w:rsid w:val="41255C51"/>
    <w:rsid w:val="415B756A"/>
    <w:rsid w:val="416B7C26"/>
    <w:rsid w:val="418E1045"/>
    <w:rsid w:val="41BA7D7D"/>
    <w:rsid w:val="41F801F1"/>
    <w:rsid w:val="42075459"/>
    <w:rsid w:val="421D2E7A"/>
    <w:rsid w:val="422229DB"/>
    <w:rsid w:val="4238111E"/>
    <w:rsid w:val="42482971"/>
    <w:rsid w:val="425E12F1"/>
    <w:rsid w:val="42C12030"/>
    <w:rsid w:val="42CD2DB2"/>
    <w:rsid w:val="42F56341"/>
    <w:rsid w:val="431C1B20"/>
    <w:rsid w:val="43DD5609"/>
    <w:rsid w:val="43F014EA"/>
    <w:rsid w:val="43F85E54"/>
    <w:rsid w:val="44450C02"/>
    <w:rsid w:val="4487453A"/>
    <w:rsid w:val="44E9641A"/>
    <w:rsid w:val="45244351"/>
    <w:rsid w:val="45257983"/>
    <w:rsid w:val="45AA241A"/>
    <w:rsid w:val="45FE72BB"/>
    <w:rsid w:val="463D7DE3"/>
    <w:rsid w:val="46577581"/>
    <w:rsid w:val="46A858D1"/>
    <w:rsid w:val="46B71412"/>
    <w:rsid w:val="47A81AF1"/>
    <w:rsid w:val="47C22C96"/>
    <w:rsid w:val="47DE73A4"/>
    <w:rsid w:val="47EC09D3"/>
    <w:rsid w:val="480E4F82"/>
    <w:rsid w:val="482109E5"/>
    <w:rsid w:val="485727D5"/>
    <w:rsid w:val="487F2935"/>
    <w:rsid w:val="48EB53EF"/>
    <w:rsid w:val="48F95662"/>
    <w:rsid w:val="490A18C6"/>
    <w:rsid w:val="49991973"/>
    <w:rsid w:val="49BA60EB"/>
    <w:rsid w:val="49E11E95"/>
    <w:rsid w:val="49F30CC5"/>
    <w:rsid w:val="4A314EBD"/>
    <w:rsid w:val="4A370FED"/>
    <w:rsid w:val="4A530072"/>
    <w:rsid w:val="4AAC2F8C"/>
    <w:rsid w:val="4AC62A9D"/>
    <w:rsid w:val="4B625D47"/>
    <w:rsid w:val="4B6430DB"/>
    <w:rsid w:val="4B6C140F"/>
    <w:rsid w:val="4B7818BD"/>
    <w:rsid w:val="4BDE78A3"/>
    <w:rsid w:val="4BE11211"/>
    <w:rsid w:val="4BE64DDA"/>
    <w:rsid w:val="4C0E72F7"/>
    <w:rsid w:val="4C306BE3"/>
    <w:rsid w:val="4C3152D4"/>
    <w:rsid w:val="4C4561EC"/>
    <w:rsid w:val="4C662CE2"/>
    <w:rsid w:val="4CBB58A3"/>
    <w:rsid w:val="4CC11105"/>
    <w:rsid w:val="4D4A76DD"/>
    <w:rsid w:val="4D8D1271"/>
    <w:rsid w:val="4DA92202"/>
    <w:rsid w:val="4E2118E3"/>
    <w:rsid w:val="4E21623C"/>
    <w:rsid w:val="4E6E36A3"/>
    <w:rsid w:val="4EC512BE"/>
    <w:rsid w:val="4EC90008"/>
    <w:rsid w:val="4F263359"/>
    <w:rsid w:val="4FAD1AA8"/>
    <w:rsid w:val="4FF26417"/>
    <w:rsid w:val="50622481"/>
    <w:rsid w:val="50700DB5"/>
    <w:rsid w:val="50ED2406"/>
    <w:rsid w:val="51183927"/>
    <w:rsid w:val="51382CE6"/>
    <w:rsid w:val="514A0CB0"/>
    <w:rsid w:val="519821A9"/>
    <w:rsid w:val="51DE2B97"/>
    <w:rsid w:val="51F021AD"/>
    <w:rsid w:val="523F4EE3"/>
    <w:rsid w:val="525E0E06"/>
    <w:rsid w:val="52FD30B6"/>
    <w:rsid w:val="533748EA"/>
    <w:rsid w:val="53432B17"/>
    <w:rsid w:val="53453E6C"/>
    <w:rsid w:val="53877BC9"/>
    <w:rsid w:val="53A05E55"/>
    <w:rsid w:val="53A476F3"/>
    <w:rsid w:val="53CC5595"/>
    <w:rsid w:val="54106B37"/>
    <w:rsid w:val="543A1DD2"/>
    <w:rsid w:val="54492049"/>
    <w:rsid w:val="547769EF"/>
    <w:rsid w:val="547C4EAB"/>
    <w:rsid w:val="549E0D0D"/>
    <w:rsid w:val="54A05447"/>
    <w:rsid w:val="550455CC"/>
    <w:rsid w:val="55107A0B"/>
    <w:rsid w:val="55211CC3"/>
    <w:rsid w:val="55266AFD"/>
    <w:rsid w:val="554E7692"/>
    <w:rsid w:val="555A0E22"/>
    <w:rsid w:val="556F56FB"/>
    <w:rsid w:val="55A677AF"/>
    <w:rsid w:val="55CB545E"/>
    <w:rsid w:val="56520719"/>
    <w:rsid w:val="56695A80"/>
    <w:rsid w:val="56DF0A43"/>
    <w:rsid w:val="572C25B9"/>
    <w:rsid w:val="576E35C6"/>
    <w:rsid w:val="57727B09"/>
    <w:rsid w:val="5780751F"/>
    <w:rsid w:val="578753B3"/>
    <w:rsid w:val="57920928"/>
    <w:rsid w:val="57A81E0E"/>
    <w:rsid w:val="57C245EC"/>
    <w:rsid w:val="586C4E02"/>
    <w:rsid w:val="58807673"/>
    <w:rsid w:val="58B632C9"/>
    <w:rsid w:val="58BC103B"/>
    <w:rsid w:val="58C37EA9"/>
    <w:rsid w:val="594B23BF"/>
    <w:rsid w:val="59582CD4"/>
    <w:rsid w:val="59750390"/>
    <w:rsid w:val="59BF67D8"/>
    <w:rsid w:val="5A0C2375"/>
    <w:rsid w:val="5A124512"/>
    <w:rsid w:val="5A2B146E"/>
    <w:rsid w:val="5A4A08C9"/>
    <w:rsid w:val="5A685F12"/>
    <w:rsid w:val="5A7B55E9"/>
    <w:rsid w:val="5A9F29C3"/>
    <w:rsid w:val="5ABF12B7"/>
    <w:rsid w:val="5ADD34EB"/>
    <w:rsid w:val="5AF827CF"/>
    <w:rsid w:val="5B0D640B"/>
    <w:rsid w:val="5C0A558A"/>
    <w:rsid w:val="5C0D0AE7"/>
    <w:rsid w:val="5C574BB3"/>
    <w:rsid w:val="5C930305"/>
    <w:rsid w:val="5C965E06"/>
    <w:rsid w:val="5D046781"/>
    <w:rsid w:val="5D0F1FBD"/>
    <w:rsid w:val="5D1017ED"/>
    <w:rsid w:val="5D867E6A"/>
    <w:rsid w:val="5D926785"/>
    <w:rsid w:val="5E474523"/>
    <w:rsid w:val="5E541AD8"/>
    <w:rsid w:val="5EA36DDA"/>
    <w:rsid w:val="5EC771D6"/>
    <w:rsid w:val="5F28774C"/>
    <w:rsid w:val="5F3758C0"/>
    <w:rsid w:val="5F646EFF"/>
    <w:rsid w:val="5F821C3A"/>
    <w:rsid w:val="5FC03B07"/>
    <w:rsid w:val="5FC23509"/>
    <w:rsid w:val="600339F4"/>
    <w:rsid w:val="602939AA"/>
    <w:rsid w:val="61664386"/>
    <w:rsid w:val="6192074A"/>
    <w:rsid w:val="61952D71"/>
    <w:rsid w:val="619863BE"/>
    <w:rsid w:val="61BA37CE"/>
    <w:rsid w:val="61BF7DEE"/>
    <w:rsid w:val="620F6680"/>
    <w:rsid w:val="6227280A"/>
    <w:rsid w:val="634F7668"/>
    <w:rsid w:val="63587E7F"/>
    <w:rsid w:val="63ED6FC7"/>
    <w:rsid w:val="63F828E9"/>
    <w:rsid w:val="6404587B"/>
    <w:rsid w:val="64095351"/>
    <w:rsid w:val="6415678D"/>
    <w:rsid w:val="643A1073"/>
    <w:rsid w:val="64700ECC"/>
    <w:rsid w:val="647247BA"/>
    <w:rsid w:val="64896EBA"/>
    <w:rsid w:val="64940D2B"/>
    <w:rsid w:val="64B74DAD"/>
    <w:rsid w:val="64BC368B"/>
    <w:rsid w:val="64E77DCB"/>
    <w:rsid w:val="65030AD7"/>
    <w:rsid w:val="6524215F"/>
    <w:rsid w:val="65314B5F"/>
    <w:rsid w:val="65982E30"/>
    <w:rsid w:val="65AC22E8"/>
    <w:rsid w:val="66297E46"/>
    <w:rsid w:val="66604799"/>
    <w:rsid w:val="6668387C"/>
    <w:rsid w:val="66764408"/>
    <w:rsid w:val="669A54BD"/>
    <w:rsid w:val="66DC0AFB"/>
    <w:rsid w:val="66E63727"/>
    <w:rsid w:val="6712276E"/>
    <w:rsid w:val="671868DB"/>
    <w:rsid w:val="671E1113"/>
    <w:rsid w:val="673F658F"/>
    <w:rsid w:val="674A015A"/>
    <w:rsid w:val="67787159"/>
    <w:rsid w:val="67787532"/>
    <w:rsid w:val="679435E5"/>
    <w:rsid w:val="67997AA6"/>
    <w:rsid w:val="67A45ABC"/>
    <w:rsid w:val="67B8771A"/>
    <w:rsid w:val="6817003C"/>
    <w:rsid w:val="686314D3"/>
    <w:rsid w:val="686A0290"/>
    <w:rsid w:val="688651C2"/>
    <w:rsid w:val="68A978F4"/>
    <w:rsid w:val="68BD4F33"/>
    <w:rsid w:val="68FA2E7A"/>
    <w:rsid w:val="69390EA2"/>
    <w:rsid w:val="695A48C8"/>
    <w:rsid w:val="698B734F"/>
    <w:rsid w:val="6A2D7FEB"/>
    <w:rsid w:val="6A3A2708"/>
    <w:rsid w:val="6A6B0B13"/>
    <w:rsid w:val="6AEF52A0"/>
    <w:rsid w:val="6B342AF4"/>
    <w:rsid w:val="6BA518C1"/>
    <w:rsid w:val="6C537AEB"/>
    <w:rsid w:val="6C953C26"/>
    <w:rsid w:val="6CDB1F80"/>
    <w:rsid w:val="6D167501"/>
    <w:rsid w:val="6D3B47CD"/>
    <w:rsid w:val="6D5910F7"/>
    <w:rsid w:val="6D9B0849"/>
    <w:rsid w:val="6DBD263C"/>
    <w:rsid w:val="6E76723E"/>
    <w:rsid w:val="6EE84C1A"/>
    <w:rsid w:val="6F035BF0"/>
    <w:rsid w:val="6F2C0AF3"/>
    <w:rsid w:val="6F467459"/>
    <w:rsid w:val="6F9939AE"/>
    <w:rsid w:val="6FA523D2"/>
    <w:rsid w:val="6FB645DF"/>
    <w:rsid w:val="6FF70359"/>
    <w:rsid w:val="70241937"/>
    <w:rsid w:val="703A6FBE"/>
    <w:rsid w:val="706109EE"/>
    <w:rsid w:val="70C663A4"/>
    <w:rsid w:val="710E2EC7"/>
    <w:rsid w:val="712918BC"/>
    <w:rsid w:val="715922DB"/>
    <w:rsid w:val="715E7F4A"/>
    <w:rsid w:val="717B5278"/>
    <w:rsid w:val="71833A0B"/>
    <w:rsid w:val="7193135A"/>
    <w:rsid w:val="71DF4358"/>
    <w:rsid w:val="72041140"/>
    <w:rsid w:val="720E0702"/>
    <w:rsid w:val="72253C9E"/>
    <w:rsid w:val="724D04A7"/>
    <w:rsid w:val="725D1CCF"/>
    <w:rsid w:val="72655E48"/>
    <w:rsid w:val="7295497F"/>
    <w:rsid w:val="72B00CD0"/>
    <w:rsid w:val="72C56E95"/>
    <w:rsid w:val="72D83A46"/>
    <w:rsid w:val="73456F57"/>
    <w:rsid w:val="737266CC"/>
    <w:rsid w:val="73B01345"/>
    <w:rsid w:val="73E95B9F"/>
    <w:rsid w:val="740718AD"/>
    <w:rsid w:val="74213B7A"/>
    <w:rsid w:val="744228E5"/>
    <w:rsid w:val="74526697"/>
    <w:rsid w:val="749B1FF5"/>
    <w:rsid w:val="74DA2B1D"/>
    <w:rsid w:val="758A6538"/>
    <w:rsid w:val="758D4ABD"/>
    <w:rsid w:val="75E83243"/>
    <w:rsid w:val="75FC285A"/>
    <w:rsid w:val="765B6DB6"/>
    <w:rsid w:val="766034F6"/>
    <w:rsid w:val="766160FB"/>
    <w:rsid w:val="7693003E"/>
    <w:rsid w:val="76946CFC"/>
    <w:rsid w:val="77287154"/>
    <w:rsid w:val="77327056"/>
    <w:rsid w:val="773728B1"/>
    <w:rsid w:val="773F7AD4"/>
    <w:rsid w:val="77530F62"/>
    <w:rsid w:val="77775173"/>
    <w:rsid w:val="77DA370B"/>
    <w:rsid w:val="78130758"/>
    <w:rsid w:val="78641497"/>
    <w:rsid w:val="78A85526"/>
    <w:rsid w:val="798412AA"/>
    <w:rsid w:val="799777F3"/>
    <w:rsid w:val="79A27982"/>
    <w:rsid w:val="7A344A7E"/>
    <w:rsid w:val="7A6078E0"/>
    <w:rsid w:val="7A756E44"/>
    <w:rsid w:val="7A83602A"/>
    <w:rsid w:val="7AB91427"/>
    <w:rsid w:val="7AD149C3"/>
    <w:rsid w:val="7AF76FBB"/>
    <w:rsid w:val="7B037192"/>
    <w:rsid w:val="7B261DF4"/>
    <w:rsid w:val="7BBA7205"/>
    <w:rsid w:val="7BC52D7B"/>
    <w:rsid w:val="7C1A5EF5"/>
    <w:rsid w:val="7C4225FC"/>
    <w:rsid w:val="7C70759A"/>
    <w:rsid w:val="7C7C44BA"/>
    <w:rsid w:val="7C930A71"/>
    <w:rsid w:val="7CB24380"/>
    <w:rsid w:val="7CDF69B4"/>
    <w:rsid w:val="7D254B52"/>
    <w:rsid w:val="7D366D5F"/>
    <w:rsid w:val="7D3D04D8"/>
    <w:rsid w:val="7D79646A"/>
    <w:rsid w:val="7D8B195F"/>
    <w:rsid w:val="7DBC4932"/>
    <w:rsid w:val="7E3C03A5"/>
    <w:rsid w:val="7E926FC4"/>
    <w:rsid w:val="7EE747B5"/>
    <w:rsid w:val="7EEF71C5"/>
    <w:rsid w:val="7EF15B25"/>
    <w:rsid w:val="7F000F2E"/>
    <w:rsid w:val="7F1E2075"/>
    <w:rsid w:val="7FA244F0"/>
    <w:rsid w:val="7FA477AF"/>
    <w:rsid w:val="7FC943E8"/>
    <w:rsid w:val="7FE610C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9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nhideWhenUsed="0" w:uiPriority="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qFormat="1" w:unhideWhenUsed="0" w:uiPriority="99"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00" w:lineRule="exact"/>
      <w:ind w:firstLine="560" w:firstLineChars="200"/>
      <w:jc w:val="both"/>
    </w:pPr>
    <w:rPr>
      <w:rFonts w:ascii="仿宋" w:hAnsi="仿宋" w:eastAsia="仿宋" w:cs="仿宋"/>
      <w:bCs/>
      <w:kern w:val="2"/>
      <w:sz w:val="28"/>
      <w:szCs w:val="28"/>
      <w:lang w:val="en-US" w:eastAsia="zh-CN" w:bidi="ar-SA"/>
    </w:rPr>
  </w:style>
  <w:style w:type="paragraph" w:styleId="2">
    <w:name w:val="heading 1"/>
    <w:basedOn w:val="1"/>
    <w:next w:val="1"/>
    <w:link w:val="36"/>
    <w:qFormat/>
    <w:uiPriority w:val="0"/>
    <w:pPr>
      <w:numPr>
        <w:ilvl w:val="0"/>
        <w:numId w:val="1"/>
      </w:numPr>
      <w:spacing w:line="240" w:lineRule="auto"/>
      <w:ind w:firstLine="0" w:firstLineChars="0"/>
      <w:outlineLvl w:val="0"/>
    </w:pPr>
    <w:rPr>
      <w:rFonts w:ascii="黑体" w:hAnsi="黑体" w:eastAsia="黑体" w:cs="Times New Roman"/>
      <w:b/>
      <w:bCs w:val="0"/>
      <w:sz w:val="30"/>
      <w:szCs w:val="30"/>
    </w:rPr>
  </w:style>
  <w:style w:type="paragraph" w:styleId="3">
    <w:name w:val="heading 2"/>
    <w:basedOn w:val="1"/>
    <w:next w:val="1"/>
    <w:link w:val="37"/>
    <w:qFormat/>
    <w:uiPriority w:val="0"/>
    <w:pPr>
      <w:keepNext/>
      <w:numPr>
        <w:ilvl w:val="1"/>
        <w:numId w:val="1"/>
      </w:numPr>
      <w:spacing w:line="240" w:lineRule="auto"/>
      <w:ind w:firstLine="0" w:firstLineChars="0"/>
      <w:outlineLvl w:val="1"/>
    </w:pPr>
    <w:rPr>
      <w:rFonts w:cs="Times New Roman"/>
      <w:b/>
      <w:bCs w:val="0"/>
    </w:rPr>
  </w:style>
  <w:style w:type="paragraph" w:styleId="4">
    <w:name w:val="heading 3"/>
    <w:basedOn w:val="3"/>
    <w:next w:val="1"/>
    <w:qFormat/>
    <w:uiPriority w:val="0"/>
    <w:pPr>
      <w:numPr>
        <w:ilvl w:val="2"/>
        <w:numId w:val="1"/>
      </w:numPr>
      <w:ind w:firstLine="0" w:firstLineChars="0"/>
      <w:outlineLvl w:val="2"/>
    </w:pPr>
  </w:style>
  <w:style w:type="paragraph" w:styleId="5">
    <w:name w:val="heading 4"/>
    <w:basedOn w:val="1"/>
    <w:next w:val="1"/>
    <w:qFormat/>
    <w:uiPriority w:val="0"/>
    <w:pPr>
      <w:ind w:firstLine="562"/>
      <w:outlineLvl w:val="3"/>
    </w:pPr>
  </w:style>
  <w:style w:type="paragraph" w:styleId="6">
    <w:name w:val="heading 7"/>
    <w:basedOn w:val="1"/>
    <w:next w:val="1"/>
    <w:link w:val="39"/>
    <w:qFormat/>
    <w:uiPriority w:val="0"/>
    <w:pPr>
      <w:keepNext/>
      <w:keepLines/>
      <w:spacing w:beforeLines="0" w:afterLines="0" w:line="320" w:lineRule="auto"/>
      <w:outlineLvl w:val="6"/>
    </w:pPr>
    <w:rPr>
      <w:rFonts w:ascii="Times New Roman" w:hAnsi="Times New Roman" w:eastAsia="宋体" w:cs="Times New Roman"/>
      <w:b/>
      <w:sz w:val="24"/>
      <w:szCs w:val="24"/>
    </w:rPr>
  </w:style>
  <w:style w:type="paragraph" w:styleId="7">
    <w:name w:val="heading 8"/>
    <w:basedOn w:val="1"/>
    <w:next w:val="1"/>
    <w:qFormat/>
    <w:uiPriority w:val="99"/>
    <w:pPr>
      <w:numPr>
        <w:ilvl w:val="7"/>
        <w:numId w:val="2"/>
      </w:numPr>
      <w:tabs>
        <w:tab w:val="left" w:pos="0"/>
      </w:tabs>
      <w:spacing w:line="400" w:lineRule="atLeast"/>
      <w:ind w:left="0" w:firstLine="0" w:firstLineChars="0"/>
      <w:jc w:val="center"/>
      <w:outlineLvl w:val="7"/>
    </w:pPr>
    <w:rPr>
      <w:rFonts w:cs="Times New Roman"/>
      <w:b/>
      <w:color w:val="0A10FE"/>
      <w:sz w:val="21"/>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styleId="8">
    <w:name w:val="table of authorities"/>
    <w:basedOn w:val="1"/>
    <w:next w:val="1"/>
    <w:qFormat/>
    <w:uiPriority w:val="99"/>
    <w:pPr>
      <w:ind w:left="420" w:leftChars="200"/>
    </w:pPr>
    <w:rPr>
      <w:szCs w:val="20"/>
    </w:rPr>
  </w:style>
  <w:style w:type="paragraph" w:styleId="9">
    <w:name w:val="Normal Indent"/>
    <w:basedOn w:val="1"/>
    <w:next w:val="10"/>
    <w:link w:val="38"/>
    <w:unhideWhenUsed/>
    <w:qFormat/>
    <w:uiPriority w:val="99"/>
    <w:pPr>
      <w:spacing w:line="360" w:lineRule="auto"/>
      <w:ind w:firstLine="420" w:firstLineChars="200"/>
      <w:jc w:val="left"/>
    </w:pPr>
    <w:rPr>
      <w:rFonts w:cs="Times New Roman"/>
      <w:sz w:val="24"/>
      <w:szCs w:val="20"/>
    </w:rPr>
  </w:style>
  <w:style w:type="paragraph" w:styleId="10">
    <w:name w:val="Body Text First Indent"/>
    <w:basedOn w:val="11"/>
    <w:qFormat/>
    <w:uiPriority w:val="99"/>
    <w:pPr>
      <w:ind w:firstLine="420" w:firstLineChars="100"/>
    </w:pPr>
    <w:rPr>
      <w:kern w:val="2"/>
      <w:sz w:val="21"/>
    </w:rPr>
  </w:style>
  <w:style w:type="paragraph" w:styleId="11">
    <w:name w:val="Body Text"/>
    <w:basedOn w:val="1"/>
    <w:next w:val="1"/>
    <w:unhideWhenUsed/>
    <w:qFormat/>
    <w:uiPriority w:val="99"/>
    <w:pPr>
      <w:spacing w:after="120"/>
    </w:pPr>
  </w:style>
  <w:style w:type="paragraph" w:styleId="12">
    <w:name w:val="caption"/>
    <w:basedOn w:val="1"/>
    <w:next w:val="1"/>
    <w:link w:val="40"/>
    <w:qFormat/>
    <w:uiPriority w:val="0"/>
    <w:pPr>
      <w:spacing w:line="240" w:lineRule="auto"/>
      <w:ind w:firstLine="0" w:firstLineChars="0"/>
      <w:jc w:val="center"/>
    </w:pPr>
    <w:rPr>
      <w:rFonts w:ascii="Times New Roman" w:hAnsi="Times New Roman" w:eastAsia="宋体" w:cs="Times New Roman"/>
      <w:b/>
      <w:sz w:val="21"/>
      <w:szCs w:val="21"/>
    </w:rPr>
  </w:style>
  <w:style w:type="paragraph" w:styleId="13">
    <w:name w:val="Document Map"/>
    <w:basedOn w:val="1"/>
    <w:link w:val="44"/>
    <w:qFormat/>
    <w:uiPriority w:val="0"/>
    <w:rPr>
      <w:rFonts w:ascii="宋体" w:hAnsi="Times New Roman" w:eastAsia="宋体" w:cs="Times New Roman"/>
      <w:bCs w:val="0"/>
      <w:sz w:val="18"/>
      <w:szCs w:val="18"/>
    </w:rPr>
  </w:style>
  <w:style w:type="paragraph" w:styleId="14">
    <w:name w:val="annotation text"/>
    <w:basedOn w:val="1"/>
    <w:semiHidden/>
    <w:qFormat/>
    <w:uiPriority w:val="0"/>
    <w:pPr>
      <w:jc w:val="left"/>
    </w:pPr>
  </w:style>
  <w:style w:type="paragraph" w:styleId="15">
    <w:name w:val="Block Text"/>
    <w:basedOn w:val="1"/>
    <w:next w:val="11"/>
    <w:qFormat/>
    <w:uiPriority w:val="0"/>
    <w:pPr>
      <w:wordWrap w:val="0"/>
      <w:adjustRightInd w:val="0"/>
      <w:snapToGrid w:val="0"/>
      <w:spacing w:after="120" w:line="500" w:lineRule="exact"/>
      <w:ind w:left="1440" w:leftChars="700" w:right="1440" w:rightChars="700" w:firstLine="880" w:firstLineChars="200"/>
    </w:pPr>
    <w:rPr>
      <w:rFonts w:ascii="Calibri" w:hAnsi="Calibri" w:eastAsia="仿宋_GB2312"/>
      <w:color w:val="000000"/>
      <w:sz w:val="28"/>
      <w:szCs w:val="22"/>
    </w:rPr>
  </w:style>
  <w:style w:type="paragraph" w:styleId="16">
    <w:name w:val="Plain Text"/>
    <w:basedOn w:val="1"/>
    <w:link w:val="45"/>
    <w:qFormat/>
    <w:uiPriority w:val="0"/>
    <w:rPr>
      <w:rFonts w:ascii="宋体" w:hAnsi="Courier New" w:eastAsia="宋体" w:cs="Times New Roman"/>
      <w:bCs w:val="0"/>
      <w:sz w:val="21"/>
      <w:szCs w:val="20"/>
    </w:rPr>
  </w:style>
  <w:style w:type="paragraph" w:styleId="17">
    <w:name w:val="Date"/>
    <w:basedOn w:val="1"/>
    <w:next w:val="1"/>
    <w:link w:val="46"/>
    <w:unhideWhenUsed/>
    <w:qFormat/>
    <w:uiPriority w:val="99"/>
    <w:pPr>
      <w:ind w:left="100" w:leftChars="2500"/>
    </w:pPr>
    <w:rPr>
      <w:rFonts w:ascii="Times New Roman" w:hAnsi="Times New Roman" w:eastAsia="宋体" w:cs="Times New Roman"/>
      <w:bCs w:val="0"/>
      <w:sz w:val="21"/>
      <w:szCs w:val="24"/>
    </w:rPr>
  </w:style>
  <w:style w:type="paragraph" w:styleId="18">
    <w:name w:val="Balloon Text"/>
    <w:basedOn w:val="1"/>
    <w:link w:val="47"/>
    <w:qFormat/>
    <w:uiPriority w:val="0"/>
    <w:rPr>
      <w:rFonts w:ascii="Times New Roman" w:hAnsi="Times New Roman" w:eastAsia="宋体" w:cs="Times New Roman"/>
      <w:bCs w:val="0"/>
      <w:sz w:val="18"/>
      <w:szCs w:val="18"/>
    </w:rPr>
  </w:style>
  <w:style w:type="paragraph" w:styleId="19">
    <w:name w:val="footer"/>
    <w:basedOn w:val="1"/>
    <w:link w:val="48"/>
    <w:qFormat/>
    <w:uiPriority w:val="99"/>
    <w:pPr>
      <w:tabs>
        <w:tab w:val="center" w:pos="4153"/>
        <w:tab w:val="right" w:pos="8306"/>
      </w:tabs>
      <w:snapToGrid w:val="0"/>
      <w:jc w:val="left"/>
    </w:pPr>
    <w:rPr>
      <w:rFonts w:ascii="Times New Roman" w:hAnsi="Times New Roman" w:eastAsia="宋体" w:cs="Times New Roman"/>
      <w:bCs w:val="0"/>
      <w:sz w:val="18"/>
      <w:szCs w:val="18"/>
    </w:rPr>
  </w:style>
  <w:style w:type="paragraph" w:styleId="20">
    <w:name w:val="header"/>
    <w:basedOn w:val="1"/>
    <w:link w:val="49"/>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bCs w:val="0"/>
      <w:sz w:val="18"/>
      <w:szCs w:val="18"/>
    </w:rPr>
  </w:style>
  <w:style w:type="paragraph" w:styleId="21">
    <w:name w:val="toc 1"/>
    <w:basedOn w:val="1"/>
    <w:next w:val="1"/>
    <w:qFormat/>
    <w:uiPriority w:val="39"/>
    <w:pPr>
      <w:spacing w:line="440" w:lineRule="exact"/>
      <w:ind w:firstLine="0" w:firstLineChars="0"/>
    </w:pPr>
  </w:style>
  <w:style w:type="paragraph" w:styleId="22">
    <w:name w:val="Subtitle"/>
    <w:basedOn w:val="1"/>
    <w:next w:val="1"/>
    <w:link w:val="50"/>
    <w:qFormat/>
    <w:uiPriority w:val="0"/>
    <w:pPr>
      <w:snapToGrid w:val="0"/>
      <w:spacing w:before="100" w:beforeAutospacing="1" w:after="100" w:afterAutospacing="1" w:line="240" w:lineRule="atLeast"/>
      <w:ind w:firstLine="0" w:firstLineChars="0"/>
      <w:jc w:val="center"/>
    </w:pPr>
    <w:rPr>
      <w:rFonts w:ascii="仿宋_GB2312" w:hAnsi="仿宋_GB2312" w:eastAsia="仿宋_GB2312" w:cs="Times New Roman"/>
      <w:b/>
      <w:kern w:val="0"/>
      <w:sz w:val="44"/>
    </w:rPr>
  </w:style>
  <w:style w:type="paragraph" w:styleId="23">
    <w:name w:val="toc 2"/>
    <w:basedOn w:val="1"/>
    <w:next w:val="1"/>
    <w:unhideWhenUsed/>
    <w:qFormat/>
    <w:uiPriority w:val="39"/>
    <w:pPr>
      <w:spacing w:line="440" w:lineRule="exact"/>
      <w:ind w:left="0" w:leftChars="0"/>
    </w:pPr>
  </w:style>
  <w:style w:type="paragraph" w:styleId="24">
    <w:name w:val="Body Text 2"/>
    <w:basedOn w:val="1"/>
    <w:qFormat/>
    <w:uiPriority w:val="0"/>
    <w:pPr>
      <w:ind w:firstLine="200"/>
    </w:pPr>
    <w:rPr>
      <w:rFonts w:eastAsia="宋体"/>
      <w:sz w:val="24"/>
      <w:szCs w:val="24"/>
    </w:rPr>
  </w:style>
  <w:style w:type="paragraph" w:styleId="25">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styleId="26">
    <w:name w:val="Title"/>
    <w:basedOn w:val="1"/>
    <w:link w:val="51"/>
    <w:qFormat/>
    <w:uiPriority w:val="10"/>
    <w:pPr>
      <w:snapToGrid w:val="0"/>
      <w:spacing w:before="100" w:beforeAutospacing="1" w:after="100" w:afterAutospacing="1"/>
      <w:ind w:firstLine="0" w:firstLineChars="0"/>
      <w:jc w:val="center"/>
    </w:pPr>
    <w:rPr>
      <w:rFonts w:ascii="黑体" w:hAnsi="黑体" w:eastAsia="黑体" w:cs="Times New Roman"/>
      <w:b/>
      <w:bCs w:val="0"/>
      <w:kern w:val="0"/>
      <w:sz w:val="52"/>
      <w:szCs w:val="52"/>
    </w:rPr>
  </w:style>
  <w:style w:type="paragraph" w:styleId="27">
    <w:name w:val="annotation subject"/>
    <w:basedOn w:val="14"/>
    <w:next w:val="14"/>
    <w:semiHidden/>
    <w:qFormat/>
    <w:uiPriority w:val="0"/>
    <w:rPr>
      <w:b/>
      <w:bCs w:val="0"/>
    </w:rPr>
  </w:style>
  <w:style w:type="table" w:styleId="29">
    <w:name w:val="Table Grid"/>
    <w:basedOn w:val="2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rFonts w:eastAsia="宋体"/>
      <w:b/>
      <w:sz w:val="21"/>
    </w:rPr>
  </w:style>
  <w:style w:type="character" w:styleId="32">
    <w:name w:val="page number"/>
    <w:qFormat/>
    <w:uiPriority w:val="0"/>
  </w:style>
  <w:style w:type="character" w:styleId="33">
    <w:name w:val="Emphasis"/>
    <w:qFormat/>
    <w:uiPriority w:val="20"/>
  </w:style>
  <w:style w:type="character" w:styleId="34">
    <w:name w:val="Hyperlink"/>
    <w:qFormat/>
    <w:uiPriority w:val="99"/>
    <w:rPr>
      <w:color w:val="0000FF"/>
      <w:u w:val="single"/>
    </w:rPr>
  </w:style>
  <w:style w:type="character" w:styleId="35">
    <w:name w:val="annotation reference"/>
    <w:semiHidden/>
    <w:qFormat/>
    <w:uiPriority w:val="0"/>
    <w:rPr>
      <w:sz w:val="21"/>
      <w:szCs w:val="21"/>
    </w:rPr>
  </w:style>
  <w:style w:type="character" w:customStyle="1" w:styleId="36">
    <w:name w:val="标题 1 Char"/>
    <w:link w:val="2"/>
    <w:qFormat/>
    <w:uiPriority w:val="0"/>
    <w:rPr>
      <w:rFonts w:ascii="黑体" w:hAnsi="黑体" w:eastAsia="黑体" w:cs="仿宋"/>
      <w:b/>
      <w:kern w:val="2"/>
      <w:sz w:val="30"/>
      <w:szCs w:val="30"/>
    </w:rPr>
  </w:style>
  <w:style w:type="character" w:customStyle="1" w:styleId="37">
    <w:name w:val="标题 2 Char"/>
    <w:link w:val="3"/>
    <w:qFormat/>
    <w:uiPriority w:val="0"/>
    <w:rPr>
      <w:rFonts w:ascii="仿宋" w:hAnsi="仿宋" w:eastAsia="仿宋" w:cs="仿宋"/>
      <w:b/>
      <w:kern w:val="2"/>
      <w:sz w:val="28"/>
      <w:szCs w:val="28"/>
    </w:rPr>
  </w:style>
  <w:style w:type="character" w:customStyle="1" w:styleId="38">
    <w:name w:val="正文缩进 Char"/>
    <w:link w:val="9"/>
    <w:qFormat/>
    <w:uiPriority w:val="99"/>
    <w:rPr>
      <w:rFonts w:ascii="仿宋" w:hAnsi="仿宋" w:eastAsia="仿宋" w:cs="仿宋"/>
      <w:bCs/>
      <w:kern w:val="2"/>
      <w:sz w:val="24"/>
    </w:rPr>
  </w:style>
  <w:style w:type="character" w:customStyle="1" w:styleId="39">
    <w:name w:val="标题 7 Char"/>
    <w:link w:val="6"/>
    <w:qFormat/>
    <w:uiPriority w:val="0"/>
    <w:rPr>
      <w:rFonts w:eastAsia="宋体"/>
      <w:b/>
      <w:bCs/>
      <w:kern w:val="2"/>
      <w:sz w:val="24"/>
      <w:szCs w:val="24"/>
      <w:lang w:val="en-US" w:eastAsia="zh-CN" w:bidi="ar-SA"/>
    </w:rPr>
  </w:style>
  <w:style w:type="character" w:customStyle="1" w:styleId="40">
    <w:name w:val="题注 Char"/>
    <w:link w:val="12"/>
    <w:qFormat/>
    <w:uiPriority w:val="0"/>
    <w:rPr>
      <w:rFonts w:cs="仿宋"/>
      <w:b/>
      <w:bCs/>
      <w:kern w:val="2"/>
      <w:sz w:val="21"/>
      <w:szCs w:val="21"/>
    </w:rPr>
  </w:style>
  <w:style w:type="paragraph" w:customStyle="1" w:styleId="41">
    <w:name w:val="表内文字"/>
    <w:basedOn w:val="42"/>
    <w:next w:val="1"/>
    <w:link w:val="43"/>
    <w:qFormat/>
    <w:uiPriority w:val="0"/>
    <w:pPr>
      <w:widowControl w:val="0"/>
      <w:spacing w:line="240" w:lineRule="auto"/>
      <w:ind w:firstLine="0" w:firstLineChars="0"/>
      <w:jc w:val="center"/>
    </w:pPr>
    <w:rPr>
      <w:rFonts w:ascii="Times New Roman" w:hAnsi="Times New Roman" w:eastAsia="宋体" w:cs="Times New Roman"/>
      <w:b w:val="0"/>
      <w:bCs w:val="0"/>
      <w:szCs w:val="21"/>
      <w:lang w:eastAsia="en-US"/>
    </w:rPr>
  </w:style>
  <w:style w:type="paragraph" w:customStyle="1" w:styleId="42">
    <w:name w:val="图表名称"/>
    <w:basedOn w:val="1"/>
    <w:qFormat/>
    <w:uiPriority w:val="0"/>
    <w:pPr>
      <w:ind w:firstLine="0" w:firstLineChars="0"/>
      <w:jc w:val="center"/>
    </w:pPr>
    <w:rPr>
      <w:b/>
      <w:color w:val="000000"/>
      <w:sz w:val="21"/>
    </w:rPr>
  </w:style>
  <w:style w:type="character" w:customStyle="1" w:styleId="43">
    <w:name w:val="表内文字 Char Char"/>
    <w:link w:val="41"/>
    <w:qFormat/>
    <w:uiPriority w:val="0"/>
    <w:rPr>
      <w:snapToGrid/>
      <w:color w:val="000000"/>
      <w:kern w:val="2"/>
      <w:sz w:val="21"/>
      <w:szCs w:val="21"/>
      <w:lang w:eastAsia="en-US"/>
    </w:rPr>
  </w:style>
  <w:style w:type="character" w:customStyle="1" w:styleId="44">
    <w:name w:val="文档结构图 Char"/>
    <w:link w:val="13"/>
    <w:qFormat/>
    <w:uiPriority w:val="0"/>
    <w:rPr>
      <w:rFonts w:ascii="宋体"/>
      <w:kern w:val="2"/>
      <w:sz w:val="18"/>
      <w:szCs w:val="18"/>
    </w:rPr>
  </w:style>
  <w:style w:type="character" w:customStyle="1" w:styleId="45">
    <w:name w:val="纯文本 Char"/>
    <w:link w:val="16"/>
    <w:qFormat/>
    <w:uiPriority w:val="0"/>
    <w:rPr>
      <w:rFonts w:ascii="宋体" w:hAnsi="Courier New" w:eastAsia="宋体"/>
      <w:kern w:val="2"/>
      <w:sz w:val="21"/>
      <w:lang w:val="en-US" w:eastAsia="zh-CN" w:bidi="ar-SA"/>
    </w:rPr>
  </w:style>
  <w:style w:type="character" w:customStyle="1" w:styleId="46">
    <w:name w:val="日期 Char"/>
    <w:link w:val="17"/>
    <w:semiHidden/>
    <w:qFormat/>
    <w:uiPriority w:val="99"/>
    <w:rPr>
      <w:kern w:val="2"/>
      <w:sz w:val="21"/>
      <w:szCs w:val="24"/>
    </w:rPr>
  </w:style>
  <w:style w:type="character" w:customStyle="1" w:styleId="47">
    <w:name w:val="批注框文本 Char"/>
    <w:link w:val="18"/>
    <w:qFormat/>
    <w:uiPriority w:val="0"/>
    <w:rPr>
      <w:kern w:val="2"/>
      <w:sz w:val="18"/>
      <w:szCs w:val="18"/>
    </w:rPr>
  </w:style>
  <w:style w:type="character" w:customStyle="1" w:styleId="48">
    <w:name w:val="页脚 Char"/>
    <w:link w:val="19"/>
    <w:qFormat/>
    <w:uiPriority w:val="99"/>
    <w:rPr>
      <w:kern w:val="2"/>
      <w:sz w:val="18"/>
      <w:szCs w:val="18"/>
    </w:rPr>
  </w:style>
  <w:style w:type="character" w:customStyle="1" w:styleId="49">
    <w:name w:val="页眉 Char"/>
    <w:link w:val="20"/>
    <w:qFormat/>
    <w:uiPriority w:val="0"/>
    <w:rPr>
      <w:kern w:val="2"/>
      <w:sz w:val="18"/>
      <w:szCs w:val="18"/>
    </w:rPr>
  </w:style>
  <w:style w:type="character" w:customStyle="1" w:styleId="50">
    <w:name w:val="副标题 Char"/>
    <w:link w:val="22"/>
    <w:qFormat/>
    <w:uiPriority w:val="0"/>
    <w:rPr>
      <w:rFonts w:ascii="仿宋_GB2312" w:hAnsi="仿宋_GB2312" w:eastAsia="仿宋_GB2312" w:cs="仿宋_GB2312"/>
      <w:b/>
      <w:bCs/>
      <w:sz w:val="44"/>
      <w:szCs w:val="28"/>
    </w:rPr>
  </w:style>
  <w:style w:type="character" w:customStyle="1" w:styleId="51">
    <w:name w:val="标题 Char"/>
    <w:link w:val="26"/>
    <w:qFormat/>
    <w:uiPriority w:val="10"/>
    <w:rPr>
      <w:rFonts w:ascii="黑体" w:hAnsi="黑体" w:eastAsia="黑体" w:cs="黑体"/>
      <w:b/>
      <w:sz w:val="52"/>
      <w:szCs w:val="52"/>
    </w:rPr>
  </w:style>
  <w:style w:type="character" w:customStyle="1" w:styleId="52">
    <w:name w:val="1、正文 Char Char"/>
    <w:link w:val="53"/>
    <w:qFormat/>
    <w:uiPriority w:val="0"/>
    <w:rPr>
      <w:rFonts w:ascii="宋体" w:hAnsi="宋体"/>
      <w:color w:val="000000"/>
      <w:kern w:val="2"/>
      <w:sz w:val="28"/>
      <w:szCs w:val="28"/>
    </w:rPr>
  </w:style>
  <w:style w:type="paragraph" w:customStyle="1" w:styleId="53">
    <w:name w:val="1、正文"/>
    <w:basedOn w:val="1"/>
    <w:link w:val="52"/>
    <w:qFormat/>
    <w:uiPriority w:val="0"/>
    <w:pPr>
      <w:spacing w:line="360" w:lineRule="auto"/>
      <w:ind w:firstLine="560" w:firstLineChars="200"/>
    </w:pPr>
    <w:rPr>
      <w:rFonts w:ascii="宋体" w:hAnsi="宋体" w:eastAsia="宋体" w:cs="Times New Roman"/>
      <w:bCs w:val="0"/>
      <w:color w:val="000000"/>
    </w:rPr>
  </w:style>
  <w:style w:type="character" w:customStyle="1" w:styleId="54">
    <w:name w:val="（一） Char Char"/>
    <w:link w:val="55"/>
    <w:qFormat/>
    <w:uiPriority w:val="0"/>
    <w:rPr>
      <w:rFonts w:ascii="宋体" w:hAnsi="宋体"/>
      <w:b/>
      <w:kern w:val="2"/>
      <w:sz w:val="28"/>
      <w:szCs w:val="28"/>
    </w:rPr>
  </w:style>
  <w:style w:type="paragraph" w:customStyle="1" w:styleId="55">
    <w:name w:val="（一）"/>
    <w:basedOn w:val="1"/>
    <w:link w:val="54"/>
    <w:qFormat/>
    <w:uiPriority w:val="0"/>
    <w:pPr>
      <w:spacing w:line="360" w:lineRule="auto"/>
      <w:ind w:firstLine="200" w:firstLineChars="200"/>
    </w:pPr>
    <w:rPr>
      <w:rFonts w:ascii="宋体" w:hAnsi="宋体" w:eastAsia="宋体" w:cs="Times New Roman"/>
      <w:b/>
      <w:bCs w:val="0"/>
    </w:rPr>
  </w:style>
  <w:style w:type="character" w:customStyle="1" w:styleId="56">
    <w:name w:val="1、表格 Char Char"/>
    <w:link w:val="57"/>
    <w:qFormat/>
    <w:uiPriority w:val="0"/>
    <w:rPr>
      <w:rFonts w:ascii="宋体" w:hAnsi="宋体"/>
      <w:b/>
      <w:sz w:val="24"/>
      <w:szCs w:val="24"/>
    </w:rPr>
  </w:style>
  <w:style w:type="paragraph" w:customStyle="1" w:styleId="57">
    <w:name w:val="1、表格"/>
    <w:basedOn w:val="1"/>
    <w:link w:val="56"/>
    <w:qFormat/>
    <w:uiPriority w:val="0"/>
    <w:pPr>
      <w:autoSpaceDE w:val="0"/>
      <w:autoSpaceDN w:val="0"/>
      <w:adjustRightInd w:val="0"/>
      <w:jc w:val="center"/>
    </w:pPr>
    <w:rPr>
      <w:rFonts w:ascii="宋体" w:hAnsi="宋体" w:eastAsia="宋体" w:cs="Times New Roman"/>
      <w:b/>
      <w:bCs w:val="0"/>
      <w:kern w:val="0"/>
      <w:sz w:val="24"/>
      <w:szCs w:val="24"/>
    </w:rPr>
  </w:style>
  <w:style w:type="character" w:customStyle="1" w:styleId="58">
    <w:name w:val="02图名 Char"/>
    <w:link w:val="59"/>
    <w:qFormat/>
    <w:uiPriority w:val="0"/>
    <w:rPr>
      <w:rFonts w:ascii="宋体" w:hAnsi="宋体" w:eastAsia="宋体"/>
      <w:b/>
      <w:kern w:val="2"/>
      <w:sz w:val="24"/>
      <w:szCs w:val="30"/>
      <w:lang w:bidi="ar-SA"/>
    </w:rPr>
  </w:style>
  <w:style w:type="paragraph" w:customStyle="1" w:styleId="59">
    <w:name w:val="02图名"/>
    <w:basedOn w:val="60"/>
    <w:link w:val="58"/>
    <w:qFormat/>
    <w:uiPriority w:val="0"/>
    <w:pPr>
      <w:autoSpaceDE w:val="0"/>
      <w:spacing w:after="120" w:line="360" w:lineRule="auto"/>
      <w:ind w:firstLine="0" w:firstLineChars="0"/>
      <w:jc w:val="center"/>
    </w:pPr>
    <w:rPr>
      <w:rFonts w:ascii="宋体" w:hAnsi="宋体" w:eastAsia="宋体"/>
      <w:b/>
      <w:kern w:val="2"/>
    </w:rPr>
  </w:style>
  <w:style w:type="paragraph" w:customStyle="1" w:styleId="60">
    <w:name w:val="岳阳正文"/>
    <w:basedOn w:val="1"/>
    <w:link w:val="61"/>
    <w:semiHidden/>
    <w:qFormat/>
    <w:uiPriority w:val="0"/>
    <w:pPr>
      <w:spacing w:line="460" w:lineRule="exact"/>
      <w:ind w:firstLine="560" w:firstLineChars="200"/>
    </w:pPr>
    <w:rPr>
      <w:rFonts w:ascii="黑体" w:hAnsi="黑体" w:eastAsia="仿宋_GB2312" w:cs="Times New Roman"/>
      <w:bCs w:val="0"/>
      <w:kern w:val="32"/>
      <w:sz w:val="24"/>
      <w:szCs w:val="30"/>
    </w:rPr>
  </w:style>
  <w:style w:type="character" w:customStyle="1" w:styleId="61">
    <w:name w:val="岳阳正文 Char"/>
    <w:link w:val="60"/>
    <w:semiHidden/>
    <w:qFormat/>
    <w:uiPriority w:val="0"/>
    <w:rPr>
      <w:rFonts w:ascii="黑体" w:hAnsi="黑体" w:eastAsia="仿宋_GB2312"/>
      <w:kern w:val="32"/>
      <w:sz w:val="24"/>
      <w:szCs w:val="30"/>
      <w:lang w:bidi="ar-SA"/>
    </w:rPr>
  </w:style>
  <w:style w:type="character" w:customStyle="1" w:styleId="62">
    <w:name w:val="01正文 Char"/>
    <w:link w:val="63"/>
    <w:qFormat/>
    <w:uiPriority w:val="0"/>
    <w:rPr>
      <w:rFonts w:ascii="宋体" w:hAnsi="宋体" w:eastAsia="仿宋_GB2312"/>
      <w:sz w:val="24"/>
      <w:szCs w:val="28"/>
      <w:lang w:bidi="ar-SA"/>
    </w:rPr>
  </w:style>
  <w:style w:type="paragraph" w:customStyle="1" w:styleId="63">
    <w:name w:val="01正文"/>
    <w:basedOn w:val="1"/>
    <w:link w:val="62"/>
    <w:qFormat/>
    <w:uiPriority w:val="0"/>
    <w:pPr>
      <w:spacing w:line="360" w:lineRule="auto"/>
      <w:ind w:firstLine="200" w:firstLineChars="200"/>
    </w:pPr>
    <w:rPr>
      <w:rFonts w:ascii="宋体" w:hAnsi="宋体" w:eastAsia="仿宋_GB2312" w:cs="Times New Roman"/>
      <w:bCs w:val="0"/>
      <w:kern w:val="0"/>
      <w:sz w:val="24"/>
    </w:rPr>
  </w:style>
  <w:style w:type="character" w:customStyle="1" w:styleId="64">
    <w:name w:val="7、框图 Char"/>
    <w:qFormat/>
    <w:uiPriority w:val="0"/>
    <w:rPr>
      <w:rFonts w:ascii="Arial" w:hAnsi="Arial" w:eastAsia="宋体"/>
      <w:b/>
      <w:bCs/>
      <w:kern w:val="2"/>
      <w:sz w:val="32"/>
      <w:lang w:bidi="ar-SA"/>
    </w:rPr>
  </w:style>
  <w:style w:type="character" w:customStyle="1" w:styleId="65">
    <w:name w:val="正文郑济 Char"/>
    <w:link w:val="66"/>
    <w:qFormat/>
    <w:uiPriority w:val="0"/>
    <w:rPr>
      <w:rFonts w:ascii="宋体" w:hAnsi="宋体" w:eastAsia="宋体"/>
      <w:kern w:val="2"/>
      <w:sz w:val="24"/>
      <w:szCs w:val="24"/>
      <w:lang w:bidi="ar-SA"/>
    </w:rPr>
  </w:style>
  <w:style w:type="paragraph" w:customStyle="1" w:styleId="66">
    <w:name w:val="正文郑济"/>
    <w:basedOn w:val="1"/>
    <w:link w:val="65"/>
    <w:qFormat/>
    <w:uiPriority w:val="0"/>
    <w:pPr>
      <w:spacing w:line="360" w:lineRule="auto"/>
      <w:ind w:firstLine="480" w:firstLineChars="200"/>
      <w:jc w:val="left"/>
    </w:pPr>
    <w:rPr>
      <w:rFonts w:ascii="宋体" w:hAnsi="宋体" w:eastAsia="宋体" w:cs="Times New Roman"/>
      <w:bCs w:val="0"/>
      <w:sz w:val="24"/>
      <w:szCs w:val="24"/>
    </w:rPr>
  </w:style>
  <w:style w:type="character" w:customStyle="1" w:styleId="67">
    <w:name w:val="1、表头 Char Char"/>
    <w:link w:val="68"/>
    <w:qFormat/>
    <w:uiPriority w:val="0"/>
    <w:rPr>
      <w:rFonts w:ascii="宋体" w:hAnsi="宋体"/>
      <w:b/>
      <w:sz w:val="28"/>
      <w:szCs w:val="24"/>
    </w:rPr>
  </w:style>
  <w:style w:type="paragraph" w:customStyle="1" w:styleId="68">
    <w:name w:val="1、表头"/>
    <w:basedOn w:val="1"/>
    <w:link w:val="67"/>
    <w:qFormat/>
    <w:uiPriority w:val="0"/>
    <w:pPr>
      <w:autoSpaceDE w:val="0"/>
      <w:autoSpaceDN w:val="0"/>
      <w:adjustRightInd w:val="0"/>
      <w:spacing w:line="360" w:lineRule="auto"/>
      <w:ind w:firstLine="565"/>
      <w:jc w:val="center"/>
    </w:pPr>
    <w:rPr>
      <w:rFonts w:ascii="宋体" w:hAnsi="宋体" w:eastAsia="宋体" w:cs="Times New Roman"/>
      <w:b/>
      <w:bCs w:val="0"/>
      <w:kern w:val="0"/>
      <w:szCs w:val="24"/>
    </w:rPr>
  </w:style>
  <w:style w:type="character" w:customStyle="1" w:styleId="69">
    <w:name w:val="1、公式 Char Char"/>
    <w:link w:val="70"/>
    <w:qFormat/>
    <w:uiPriority w:val="0"/>
  </w:style>
  <w:style w:type="paragraph" w:customStyle="1" w:styleId="70">
    <w:name w:val="1、公式"/>
    <w:basedOn w:val="53"/>
    <w:link w:val="69"/>
    <w:qFormat/>
    <w:uiPriority w:val="0"/>
    <w:pPr>
      <w:ind w:firstLine="0" w:firstLineChars="0"/>
    </w:pPr>
  </w:style>
  <w:style w:type="character" w:customStyle="1" w:styleId="71">
    <w:name w:val="7、框图 Char Char"/>
    <w:link w:val="72"/>
    <w:qFormat/>
    <w:uiPriority w:val="0"/>
    <w:rPr>
      <w:rFonts w:ascii="宋体" w:hAnsi="宋体"/>
      <w:kern w:val="2"/>
      <w:sz w:val="21"/>
      <w:szCs w:val="21"/>
    </w:rPr>
  </w:style>
  <w:style w:type="paragraph" w:customStyle="1" w:styleId="72">
    <w:name w:val="7、框图"/>
    <w:basedOn w:val="1"/>
    <w:next w:val="1"/>
    <w:link w:val="71"/>
    <w:qFormat/>
    <w:uiPriority w:val="0"/>
    <w:pPr>
      <w:adjustRightInd w:val="0"/>
      <w:snapToGrid w:val="0"/>
      <w:spacing w:line="240" w:lineRule="exact"/>
      <w:jc w:val="center"/>
    </w:pPr>
    <w:rPr>
      <w:rFonts w:ascii="宋体" w:hAnsi="宋体" w:eastAsia="宋体" w:cs="Times New Roman"/>
      <w:bCs w:val="0"/>
      <w:sz w:val="21"/>
      <w:szCs w:val="21"/>
    </w:rPr>
  </w:style>
  <w:style w:type="character" w:customStyle="1" w:styleId="73">
    <w:name w:val="1、表格-不粗 Char Char"/>
    <w:link w:val="74"/>
    <w:qFormat/>
    <w:uiPriority w:val="0"/>
  </w:style>
  <w:style w:type="paragraph" w:customStyle="1" w:styleId="74">
    <w:name w:val="1、表格-不粗"/>
    <w:basedOn w:val="57"/>
    <w:link w:val="73"/>
    <w:qFormat/>
    <w:uiPriority w:val="0"/>
  </w:style>
  <w:style w:type="character" w:customStyle="1" w:styleId="75">
    <w:name w:val="无间隔 Char"/>
    <w:link w:val="76"/>
    <w:qFormat/>
    <w:uiPriority w:val="0"/>
    <w:rPr>
      <w:rFonts w:ascii="Calibri" w:hAnsi="Calibri"/>
      <w:sz w:val="22"/>
      <w:szCs w:val="22"/>
      <w:lang w:val="en-US" w:eastAsia="zh-CN" w:bidi="ar-SA"/>
    </w:rPr>
  </w:style>
  <w:style w:type="paragraph" w:styleId="76">
    <w:name w:val="No Spacing"/>
    <w:link w:val="75"/>
    <w:qFormat/>
    <w:uiPriority w:val="0"/>
    <w:rPr>
      <w:rFonts w:ascii="Calibri" w:hAnsi="Calibri" w:eastAsia="宋体" w:cs="Times New Roman"/>
      <w:sz w:val="22"/>
      <w:szCs w:val="22"/>
      <w:lang w:val="en-US" w:eastAsia="zh-CN" w:bidi="ar-SA"/>
    </w:rPr>
  </w:style>
  <w:style w:type="character" w:customStyle="1" w:styleId="77">
    <w:name w:val="样式 宋体 行距: 1.5 倍行距 Char"/>
    <w:link w:val="78"/>
    <w:qFormat/>
    <w:uiPriority w:val="0"/>
    <w:rPr>
      <w:rFonts w:ascii="宋体" w:hAnsi="宋体" w:eastAsia="宋体" w:cs="宋体"/>
      <w:kern w:val="2"/>
      <w:sz w:val="24"/>
      <w:lang w:val="en-US" w:eastAsia="zh-CN" w:bidi="ar-SA"/>
    </w:rPr>
  </w:style>
  <w:style w:type="paragraph" w:customStyle="1" w:styleId="78">
    <w:name w:val="样式 宋体 行距: 1.5 倍行距"/>
    <w:basedOn w:val="1"/>
    <w:link w:val="77"/>
    <w:qFormat/>
    <w:uiPriority w:val="0"/>
    <w:pPr>
      <w:spacing w:line="360" w:lineRule="auto"/>
      <w:ind w:firstLine="420" w:firstLineChars="200"/>
    </w:pPr>
    <w:rPr>
      <w:rFonts w:ascii="宋体" w:hAnsi="宋体" w:eastAsia="宋体" w:cs="宋体"/>
      <w:bCs w:val="0"/>
      <w:sz w:val="24"/>
      <w:szCs w:val="20"/>
    </w:rPr>
  </w:style>
  <w:style w:type="paragraph" w:customStyle="1" w:styleId="79">
    <w:name w:val="样式 正文1 + 首行缩进:  2 字符"/>
    <w:basedOn w:val="1"/>
    <w:qFormat/>
    <w:uiPriority w:val="0"/>
    <w:pPr>
      <w:wordWrap w:val="0"/>
      <w:spacing w:line="360" w:lineRule="auto"/>
      <w:ind w:firstLine="480" w:firstLineChars="200"/>
      <w:jc w:val="left"/>
    </w:pPr>
    <w:rPr>
      <w:rFonts w:ascii="宋体" w:hAnsi="宋体" w:cs="宋体"/>
      <w:color w:val="000000"/>
      <w:sz w:val="24"/>
      <w:szCs w:val="20"/>
    </w:rPr>
  </w:style>
  <w:style w:type="paragraph" w:customStyle="1" w:styleId="80">
    <w:name w:val="Char"/>
    <w:basedOn w:val="1"/>
    <w:qFormat/>
    <w:uiPriority w:val="0"/>
    <w:rPr>
      <w:szCs w:val="21"/>
    </w:rPr>
  </w:style>
  <w:style w:type="paragraph" w:customStyle="1" w:styleId="81">
    <w:name w:val="xl22"/>
    <w:basedOn w:val="1"/>
    <w:qFormat/>
    <w:uiPriority w:val="0"/>
    <w:pPr>
      <w:widowControl/>
      <w:spacing w:beforeLines="0" w:beforeAutospacing="1" w:afterLines="0" w:afterAutospacing="1"/>
      <w:jc w:val="center"/>
    </w:pPr>
    <w:rPr>
      <w:rFonts w:hint="eastAsia" w:ascii="Arial Unicode MS" w:hAnsi="Arial Unicode MS" w:eastAsia="Arial Unicode MS"/>
      <w:kern w:val="0"/>
      <w:sz w:val="24"/>
    </w:rPr>
  </w:style>
  <w:style w:type="paragraph" w:customStyle="1" w:styleId="82">
    <w:name w:val="图表 Char Char Char"/>
    <w:basedOn w:val="1"/>
    <w:qFormat/>
    <w:uiPriority w:val="0"/>
    <w:pPr>
      <w:spacing w:line="280" w:lineRule="exact"/>
      <w:jc w:val="center"/>
    </w:pPr>
    <w:rPr>
      <w:rFonts w:ascii="仿宋_GB2312" w:eastAsia="仿宋_GB2312"/>
      <w:kern w:val="21"/>
      <w:szCs w:val="21"/>
    </w:rPr>
  </w:style>
  <w:style w:type="paragraph" w:customStyle="1" w:styleId="83">
    <w:name w:val="无间隔1"/>
    <w:qFormat/>
    <w:uiPriority w:val="0"/>
    <w:rPr>
      <w:rFonts w:ascii="Calibri" w:hAnsi="Calibri" w:eastAsia="宋体" w:cs="Times New Roman"/>
      <w:sz w:val="22"/>
      <w:szCs w:val="22"/>
      <w:lang w:val="en-US" w:eastAsia="en-US" w:bidi="ar-SA"/>
    </w:rPr>
  </w:style>
  <w:style w:type="paragraph" w:customStyle="1" w:styleId="8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85">
    <w:name w:val="样式 一级标题 + 三号 两端对齐"/>
    <w:basedOn w:val="1"/>
    <w:qFormat/>
    <w:uiPriority w:val="0"/>
    <w:pPr>
      <w:tabs>
        <w:tab w:val="left" w:pos="425"/>
      </w:tabs>
      <w:snapToGrid w:val="0"/>
      <w:spacing w:line="360" w:lineRule="auto"/>
      <w:ind w:left="425" w:hanging="425" w:firstLineChars="200"/>
      <w:outlineLvl w:val="0"/>
    </w:pPr>
    <w:rPr>
      <w:rFonts w:ascii="黑体" w:hAnsi="宋体" w:eastAsia="黑体" w:cs="宋体"/>
      <w:sz w:val="32"/>
      <w:szCs w:val="20"/>
    </w:rPr>
  </w:style>
  <w:style w:type="paragraph" w:customStyle="1" w:styleId="86">
    <w:name w:val="No Spacing1"/>
    <w:basedOn w:val="1"/>
    <w:qFormat/>
    <w:uiPriority w:val="0"/>
    <w:pPr>
      <w:spacing w:line="360" w:lineRule="auto"/>
      <w:ind w:firstLine="200" w:firstLineChars="200"/>
    </w:pPr>
    <w:rPr>
      <w:rFonts w:ascii="仿宋" w:hAnsi="仿宋" w:eastAsia="仿宋_GB2312"/>
      <w:sz w:val="24"/>
      <w:szCs w:val="20"/>
    </w:rPr>
  </w:style>
  <w:style w:type="paragraph" w:customStyle="1" w:styleId="87">
    <w:name w:val="图表标题"/>
    <w:basedOn w:val="88"/>
    <w:qFormat/>
    <w:uiPriority w:val="0"/>
    <w:pPr>
      <w:spacing w:before="31" w:after="31"/>
    </w:pPr>
    <w:rPr>
      <w:rFonts w:hint="default" w:ascii="Times New Roman" w:hAnsi="Times New Roman" w:eastAsia="宋体"/>
      <w:b/>
      <w:bCs w:val="0"/>
    </w:rPr>
  </w:style>
  <w:style w:type="paragraph" w:customStyle="1" w:styleId="88">
    <w:name w:val="表格文字"/>
    <w:basedOn w:val="1"/>
    <w:qFormat/>
    <w:uiPriority w:val="0"/>
    <w:pPr>
      <w:widowControl w:val="0"/>
      <w:spacing w:beforeLines="10" w:afterLines="10" w:line="240" w:lineRule="auto"/>
      <w:ind w:firstLine="0" w:firstLineChars="0"/>
      <w:jc w:val="center"/>
    </w:pPr>
    <w:rPr>
      <w:rFonts w:hint="eastAsia" w:cs="宋体"/>
      <w:color w:val="auto"/>
      <w:sz w:val="21"/>
      <w:szCs w:val="21"/>
    </w:rPr>
  </w:style>
  <w:style w:type="paragraph" w:styleId="89">
    <w:name w:val="List Paragraph"/>
    <w:basedOn w:val="1"/>
    <w:qFormat/>
    <w:uiPriority w:val="99"/>
    <w:pPr>
      <w:spacing w:line="360" w:lineRule="auto"/>
      <w:ind w:firstLine="420" w:firstLineChars="200"/>
    </w:pPr>
    <w:rPr>
      <w:rFonts w:eastAsia="仿宋_GB2312"/>
      <w:sz w:val="24"/>
    </w:rPr>
  </w:style>
  <w:style w:type="paragraph" w:customStyle="1" w:styleId="90">
    <w:name w:val="Char Char1 Char Char Char Char Char Char Char Char Char Char Char Char Char Char Char Char Char Char Char"/>
    <w:basedOn w:val="1"/>
    <w:qFormat/>
    <w:uiPriority w:val="0"/>
    <w:pPr>
      <w:widowControl/>
      <w:jc w:val="left"/>
    </w:pPr>
    <w:rPr>
      <w:rFonts w:hint="eastAsia" w:ascii="Tahoma" w:hAnsi="Tahoma"/>
      <w:b/>
      <w:sz w:val="24"/>
    </w:rPr>
  </w:style>
  <w:style w:type="paragraph" w:customStyle="1" w:styleId="91">
    <w:name w:val="图表内容"/>
    <w:basedOn w:val="88"/>
    <w:link w:val="92"/>
    <w:qFormat/>
    <w:uiPriority w:val="0"/>
    <w:pPr>
      <w:spacing w:before="31" w:after="31"/>
    </w:pPr>
    <w:rPr>
      <w:rFonts w:hint="default" w:ascii="Times New Roman" w:hAnsi="Times New Roman" w:eastAsia="宋体" w:cs="Times New Roman"/>
    </w:rPr>
  </w:style>
  <w:style w:type="character" w:customStyle="1" w:styleId="92">
    <w:name w:val="图表内容 Char"/>
    <w:link w:val="91"/>
    <w:qFormat/>
    <w:uiPriority w:val="0"/>
    <w:rPr>
      <w:rFonts w:cs="宋体"/>
      <w:bCs/>
      <w:kern w:val="2"/>
      <w:sz w:val="21"/>
      <w:szCs w:val="21"/>
    </w:rPr>
  </w:style>
  <w:style w:type="paragraph" w:customStyle="1" w:styleId="93">
    <w:name w:val="表格标题"/>
    <w:link w:val="94"/>
    <w:qFormat/>
    <w:uiPriority w:val="0"/>
    <w:pPr>
      <w:widowControl w:val="0"/>
      <w:spacing w:beforeLines="20" w:afterLines="20"/>
      <w:jc w:val="center"/>
    </w:pPr>
    <w:rPr>
      <w:rFonts w:ascii="宋体" w:hAnsi="宋体" w:eastAsia="宋体" w:cs="Times New Roman"/>
      <w:kern w:val="2"/>
      <w:sz w:val="21"/>
      <w:szCs w:val="24"/>
      <w:lang w:bidi="ar-SA"/>
    </w:rPr>
  </w:style>
  <w:style w:type="character" w:customStyle="1" w:styleId="94">
    <w:name w:val="表格标题 Char"/>
    <w:link w:val="93"/>
    <w:qFormat/>
    <w:uiPriority w:val="0"/>
    <w:rPr>
      <w:rFonts w:ascii="宋体" w:hAnsi="宋体"/>
      <w:kern w:val="2"/>
      <w:sz w:val="21"/>
      <w:szCs w:val="24"/>
      <w:lang w:bidi="ar-SA"/>
    </w:rPr>
  </w:style>
  <w:style w:type="paragraph" w:customStyle="1" w:styleId="95">
    <w:name w:val="封面内容"/>
    <w:basedOn w:val="1"/>
    <w:link w:val="96"/>
    <w:qFormat/>
    <w:uiPriority w:val="0"/>
    <w:pPr>
      <w:widowControl/>
      <w:snapToGrid w:val="0"/>
      <w:spacing w:before="100" w:beforeAutospacing="1" w:after="100" w:afterAutospacing="1" w:line="360" w:lineRule="auto"/>
      <w:ind w:firstLine="2560" w:firstLineChars="800"/>
      <w:jc w:val="left"/>
    </w:pPr>
    <w:rPr>
      <w:rFonts w:cs="Times New Roman"/>
      <w:bCs w:val="0"/>
      <w:kern w:val="0"/>
      <w:sz w:val="32"/>
      <w:szCs w:val="32"/>
    </w:rPr>
  </w:style>
  <w:style w:type="character" w:customStyle="1" w:styleId="96">
    <w:name w:val="封面内容 字符"/>
    <w:link w:val="95"/>
    <w:qFormat/>
    <w:uiPriority w:val="0"/>
    <w:rPr>
      <w:rFonts w:ascii="仿宋" w:hAnsi="仿宋" w:eastAsia="仿宋" w:cs="宋体"/>
      <w:sz w:val="32"/>
      <w:szCs w:val="32"/>
    </w:rPr>
  </w:style>
  <w:style w:type="paragraph" w:customStyle="1" w:styleId="97">
    <w:name w:val="内容标题"/>
    <w:basedOn w:val="1"/>
    <w:link w:val="98"/>
    <w:qFormat/>
    <w:uiPriority w:val="0"/>
    <w:pPr>
      <w:snapToGrid w:val="0"/>
      <w:spacing w:after="100" w:afterAutospacing="1"/>
      <w:ind w:firstLine="0" w:firstLineChars="0"/>
      <w:jc w:val="center"/>
    </w:pPr>
    <w:rPr>
      <w:rFonts w:ascii="宋体" w:hAnsi="宋体" w:eastAsia="宋体" w:cs="Times New Roman"/>
      <w:b/>
      <w:bCs w:val="0"/>
      <w:kern w:val="0"/>
      <w:sz w:val="44"/>
      <w:szCs w:val="21"/>
    </w:rPr>
  </w:style>
  <w:style w:type="character" w:customStyle="1" w:styleId="98">
    <w:name w:val="内容标题 字符"/>
    <w:link w:val="97"/>
    <w:qFormat/>
    <w:uiPriority w:val="0"/>
    <w:rPr>
      <w:rFonts w:ascii="宋体" w:hAnsi="宋体" w:cs="黑体"/>
      <w:b/>
      <w:sz w:val="44"/>
      <w:szCs w:val="21"/>
    </w:rPr>
  </w:style>
  <w:style w:type="paragraph" w:customStyle="1" w:styleId="99">
    <w:name w:val="钢筋符号"/>
    <w:basedOn w:val="1"/>
    <w:link w:val="100"/>
    <w:qFormat/>
    <w:uiPriority w:val="0"/>
    <w:rPr>
      <w:rFonts w:ascii="SJQY" w:hAnsi="SJQY" w:eastAsia="SJQY" w:cs="Times New Roman"/>
    </w:rPr>
  </w:style>
  <w:style w:type="character" w:customStyle="1" w:styleId="100">
    <w:name w:val="钢筋符号 字符"/>
    <w:link w:val="99"/>
    <w:qFormat/>
    <w:uiPriority w:val="0"/>
    <w:rPr>
      <w:rFonts w:ascii="SJQY" w:hAnsi="SJQY" w:eastAsia="SJQY" w:cs="仿宋"/>
      <w:bCs/>
      <w:kern w:val="2"/>
      <w:sz w:val="28"/>
      <w:szCs w:val="28"/>
    </w:rPr>
  </w:style>
  <w:style w:type="paragraph" w:customStyle="1" w:styleId="101">
    <w:name w:val="图样式"/>
    <w:basedOn w:val="1"/>
    <w:qFormat/>
    <w:uiPriority w:val="0"/>
    <w:pPr>
      <w:ind w:firstLine="0" w:firstLineChars="0"/>
      <w:jc w:val="center"/>
    </w:pPr>
  </w:style>
  <w:style w:type="paragraph" w:customStyle="1" w:styleId="102">
    <w:name w:val="表名"/>
    <w:basedOn w:val="1"/>
    <w:next w:val="1"/>
    <w:link w:val="103"/>
    <w:qFormat/>
    <w:uiPriority w:val="0"/>
    <w:pPr>
      <w:spacing w:line="240" w:lineRule="auto"/>
      <w:ind w:firstLine="0" w:firstLineChars="0"/>
      <w:jc w:val="center"/>
      <w:outlineLvl w:val="4"/>
    </w:pPr>
    <w:rPr>
      <w:rFonts w:cs="Times New Roman"/>
      <w:b/>
      <w:sz w:val="21"/>
    </w:rPr>
  </w:style>
  <w:style w:type="character" w:customStyle="1" w:styleId="103">
    <w:name w:val="表名 字符"/>
    <w:link w:val="102"/>
    <w:qFormat/>
    <w:uiPriority w:val="0"/>
    <w:rPr>
      <w:rFonts w:ascii="仿宋" w:hAnsi="仿宋" w:eastAsia="仿宋" w:cs="仿宋"/>
      <w:b/>
      <w:bCs/>
      <w:kern w:val="2"/>
      <w:sz w:val="21"/>
      <w:szCs w:val="28"/>
    </w:rPr>
  </w:style>
  <w:style w:type="paragraph" w:customStyle="1" w:styleId="104">
    <w:name w:val="表内字"/>
    <w:basedOn w:val="1"/>
    <w:next w:val="1"/>
    <w:link w:val="105"/>
    <w:qFormat/>
    <w:uiPriority w:val="0"/>
    <w:pPr>
      <w:spacing w:line="240" w:lineRule="auto"/>
      <w:ind w:firstLine="0" w:firstLineChars="0"/>
      <w:jc w:val="center"/>
    </w:pPr>
    <w:rPr>
      <w:rFonts w:cs="Times New Roman"/>
      <w:sz w:val="21"/>
    </w:rPr>
  </w:style>
  <w:style w:type="character" w:customStyle="1" w:styleId="105">
    <w:name w:val="表内字 字符"/>
    <w:link w:val="104"/>
    <w:qFormat/>
    <w:uiPriority w:val="0"/>
    <w:rPr>
      <w:rFonts w:ascii="仿宋" w:hAnsi="仿宋" w:eastAsia="仿宋" w:cs="仿宋"/>
      <w:bCs/>
      <w:kern w:val="2"/>
      <w:sz w:val="21"/>
      <w:szCs w:val="28"/>
    </w:rPr>
  </w:style>
  <w:style w:type="paragraph" w:customStyle="1" w:styleId="106">
    <w:name w:val="WPSOffice手动目录 1"/>
    <w:qFormat/>
    <w:uiPriority w:val="0"/>
    <w:rPr>
      <w:rFonts w:ascii="Times New Roman" w:hAnsi="Times New Roman" w:eastAsia="宋体" w:cs="Times New Roman"/>
      <w:lang w:val="en-US" w:eastAsia="zh-CN" w:bidi="ar-SA"/>
    </w:rPr>
  </w:style>
  <w:style w:type="paragraph" w:customStyle="1" w:styleId="10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08">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109">
    <w:name w:val="表内文字 Char"/>
    <w:qFormat/>
    <w:uiPriority w:val="0"/>
    <w:rPr>
      <w:rFonts w:hAnsi="仿宋_GB2312" w:eastAsia="仿宋"/>
      <w:sz w:val="24"/>
      <w:szCs w:val="22"/>
    </w:rPr>
  </w:style>
  <w:style w:type="paragraph" w:customStyle="1" w:styleId="110">
    <w:name w:val="图名"/>
    <w:basedOn w:val="111"/>
    <w:link w:val="112"/>
    <w:qFormat/>
    <w:uiPriority w:val="0"/>
    <w:pPr>
      <w:widowControl w:val="0"/>
      <w:spacing w:line="440" w:lineRule="exact"/>
      <w:ind w:firstLine="0" w:firstLineChars="0"/>
      <w:jc w:val="center"/>
    </w:pPr>
    <w:rPr>
      <w:rFonts w:ascii="Times New Roman" w:hAnsi="Times New Roman" w:eastAsia="宋体" w:cs="Times New Roman"/>
      <w:bCs w:val="0"/>
      <w:color w:val="auto"/>
      <w:szCs w:val="22"/>
    </w:rPr>
  </w:style>
  <w:style w:type="paragraph" w:customStyle="1" w:styleId="111">
    <w:name w:val="表头"/>
    <w:next w:val="1"/>
    <w:qFormat/>
    <w:uiPriority w:val="0"/>
    <w:pPr>
      <w:jc w:val="center"/>
    </w:pPr>
    <w:rPr>
      <w:rFonts w:ascii="仿宋" w:hAnsi="仿宋" w:eastAsia="黑体" w:cs="仿宋"/>
      <w:bCs/>
      <w:color w:val="000000"/>
      <w:kern w:val="2"/>
      <w:sz w:val="21"/>
      <w:szCs w:val="24"/>
      <w:lang w:val="en-US" w:eastAsia="zh-CN" w:bidi="ar-SA"/>
    </w:rPr>
  </w:style>
  <w:style w:type="character" w:customStyle="1" w:styleId="112">
    <w:name w:val="图名 字符"/>
    <w:link w:val="110"/>
    <w:qFormat/>
    <w:uiPriority w:val="0"/>
    <w:rPr>
      <w:kern w:val="2"/>
      <w:sz w:val="21"/>
      <w:szCs w:val="22"/>
    </w:rPr>
  </w:style>
  <w:style w:type="paragraph" w:customStyle="1" w:styleId="113">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table" w:customStyle="1" w:styleId="114">
    <w:name w:val="Table Normal"/>
    <w:unhideWhenUsed/>
    <w:qFormat/>
    <w:uiPriority w:val="0"/>
    <w:rPr>
      <w:rFonts w:ascii="Arial" w:hAnsi="Arial" w:cs="Arial"/>
      <w:snapToGrid w:val="0"/>
      <w:color w:val="000000"/>
      <w:szCs w:val="21"/>
      <w:lang w:val="en-US" w:eastAsia="en-US" w:bidi="ar-SA"/>
    </w:rPr>
    <w:tblPr>
      <w:tblCellMar>
        <w:top w:w="0" w:type="dxa"/>
        <w:left w:w="0" w:type="dxa"/>
        <w:bottom w:w="0" w:type="dxa"/>
        <w:right w:w="0" w:type="dxa"/>
      </w:tblCellMar>
    </w:tblPr>
  </w:style>
  <w:style w:type="character" w:customStyle="1" w:styleId="115">
    <w:name w:val="font01"/>
    <w:qFormat/>
    <w:uiPriority w:val="0"/>
    <w:rPr>
      <w:rFonts w:hint="eastAsia" w:ascii="宋体" w:hAnsi="宋体" w:eastAsia="宋体" w:cs="宋体"/>
      <w:color w:val="000000"/>
      <w:sz w:val="22"/>
      <w:szCs w:val="22"/>
      <w:u w:val="none"/>
    </w:rPr>
  </w:style>
  <w:style w:type="character" w:customStyle="1" w:styleId="116">
    <w:name w:val="font21"/>
    <w:qFormat/>
    <w:uiPriority w:val="0"/>
    <w:rPr>
      <w:rFonts w:hint="default" w:ascii="Times New Roman" w:hAnsi="Times New Roman" w:cs="Times New Roman"/>
      <w:color w:val="000000"/>
      <w:sz w:val="18"/>
      <w:szCs w:val="18"/>
      <w:u w:val="none"/>
    </w:rPr>
  </w:style>
  <w:style w:type="character" w:customStyle="1" w:styleId="117">
    <w:name w:val="font11"/>
    <w:qFormat/>
    <w:uiPriority w:val="0"/>
    <w:rPr>
      <w:rFonts w:hint="eastAsia" w:ascii="宋体" w:hAnsi="宋体" w:eastAsia="宋体" w:cs="宋体"/>
      <w:color w:val="000000"/>
      <w:sz w:val="18"/>
      <w:szCs w:val="18"/>
      <w:u w:val="none"/>
    </w:rPr>
  </w:style>
  <w:style w:type="character" w:customStyle="1" w:styleId="118">
    <w:name w:val="font61"/>
    <w:qFormat/>
    <w:uiPriority w:val="0"/>
    <w:rPr>
      <w:rFonts w:hint="default" w:ascii="Times New Roman" w:hAnsi="Times New Roman" w:cs="Times New Roman"/>
      <w:color w:val="000000"/>
      <w:sz w:val="18"/>
      <w:szCs w:val="18"/>
      <w:u w:val="none"/>
    </w:rPr>
  </w:style>
  <w:style w:type="character" w:customStyle="1" w:styleId="119">
    <w:name w:val="font31"/>
    <w:qFormat/>
    <w:uiPriority w:val="0"/>
    <w:rPr>
      <w:rFonts w:hint="eastAsia" w:ascii="宋体" w:hAnsi="宋体" w:eastAsia="宋体" w:cs="宋体"/>
      <w:color w:val="000000"/>
      <w:sz w:val="18"/>
      <w:szCs w:val="18"/>
      <w:u w:val="none"/>
    </w:rPr>
  </w:style>
  <w:style w:type="character" w:customStyle="1" w:styleId="120">
    <w:name w:val="font41"/>
    <w:qFormat/>
    <w:uiPriority w:val="0"/>
    <w:rPr>
      <w:rFonts w:hint="eastAsia" w:ascii="宋体" w:hAnsi="宋体" w:eastAsia="宋体" w:cs="宋体"/>
      <w:color w:val="000000"/>
      <w:sz w:val="18"/>
      <w:szCs w:val="18"/>
      <w:u w:val="none"/>
    </w:rPr>
  </w:style>
  <w:style w:type="character" w:customStyle="1" w:styleId="121">
    <w:name w:val="font71"/>
    <w:qFormat/>
    <w:uiPriority w:val="0"/>
    <w:rPr>
      <w:rFonts w:ascii="Calibri" w:hAnsi="Calibri" w:cs="Calibri"/>
      <w:color w:val="000000"/>
      <w:sz w:val="18"/>
      <w:szCs w:val="18"/>
      <w:u w:val="none"/>
    </w:rPr>
  </w:style>
  <w:style w:type="paragraph" w:customStyle="1" w:styleId="122">
    <w:name w:val="正文C"/>
    <w:basedOn w:val="1"/>
    <w:qFormat/>
    <w:uiPriority w:val="0"/>
    <w:pPr>
      <w:widowControl/>
      <w:adjustRightInd w:val="0"/>
      <w:snapToGrid w:val="0"/>
      <w:spacing w:line="360" w:lineRule="auto"/>
      <w:ind w:firstLine="200" w:firstLineChars="200"/>
      <w:jc w:val="left"/>
    </w:pPr>
    <w:rPr>
      <w:rFonts w:ascii="宋体" w:hAnsi="宋体" w:eastAsia="宋体" w:cs="宋体"/>
      <w:color w:val="4F6228"/>
      <w:kern w:val="0"/>
      <w:sz w:val="24"/>
      <w:szCs w:val="24"/>
    </w:rPr>
  </w:style>
  <w:style w:type="table" w:customStyle="1" w:styleId="123">
    <w:name w:val="网格型1"/>
    <w:basedOn w:val="28"/>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
    <w:name w:val="方案表格"/>
    <w:qFormat/>
    <w:uiPriority w:val="99"/>
    <w:rPr>
      <w:color w:val="000000"/>
      <w:lang w:val="en-US" w:eastAsia="zh-CN" w:bidi="ar-SA"/>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left w:w="0" w:type="dxa"/>
        <w:right w:w="0" w:type="dxa"/>
      </w:tblCellMar>
    </w:tblPr>
    <w:tcPr>
      <w:shd w:val="clear" w:color="auto" w:fill="auto"/>
      <w:vAlign w:val="center"/>
    </w:tcPr>
  </w:style>
  <w:style w:type="paragraph" w:customStyle="1" w:styleId="125">
    <w:name w:val="燕矶表格文字"/>
    <w:basedOn w:val="1"/>
    <w:qFormat/>
    <w:uiPriority w:val="0"/>
    <w:pPr>
      <w:adjustRightInd w:val="0"/>
      <w:snapToGrid w:val="0"/>
      <w:spacing w:line="240" w:lineRule="auto"/>
      <w:ind w:firstLine="0" w:firstLineChars="0"/>
      <w:jc w:val="center"/>
    </w:pPr>
    <w:rPr>
      <w:rFonts w:cs="Times New Roman"/>
      <w:color w:val="000000"/>
      <w:sz w:val="21"/>
    </w:rPr>
  </w:style>
  <w:style w:type="paragraph" w:customStyle="1" w:styleId="126">
    <w:name w:val="表格五号"/>
    <w:basedOn w:val="1"/>
    <w:qFormat/>
    <w:uiPriority w:val="0"/>
    <w:pPr>
      <w:adjustRightInd w:val="0"/>
      <w:snapToGrid w:val="0"/>
      <w:jc w:val="center"/>
    </w:pPr>
    <w:rPr>
      <w:rFonts w:ascii="宋体" w:hAnsi="宋体" w:eastAsia="宋体" w:cs="宋体"/>
      <w:snapToGrid w:val="0"/>
      <w:kern w:val="0"/>
      <w:sz w:val="21"/>
      <w:szCs w:val="21"/>
    </w:rPr>
  </w:style>
  <w:style w:type="paragraph" w:customStyle="1" w:styleId="127">
    <w:name w:val="插图居中"/>
    <w:qFormat/>
    <w:uiPriority w:val="0"/>
    <w:pPr>
      <w:jc w:val="center"/>
    </w:pPr>
    <w:rPr>
      <w:rFonts w:ascii="Times New Roman" w:hAnsi="Times New Roman" w:eastAsia="宋体" w:cs="Times New Roman"/>
      <w:kern w:val="2"/>
      <w:sz w:val="24"/>
      <w:szCs w:val="22"/>
      <w:lang w:val="en-US" w:eastAsia="zh-CN" w:bidi="ar-SA"/>
    </w:rPr>
  </w:style>
  <w:style w:type="paragraph" w:customStyle="1" w:styleId="128">
    <w:name w:val="表格"/>
    <w:basedOn w:val="1"/>
    <w:qFormat/>
    <w:uiPriority w:val="0"/>
    <w:pPr>
      <w:adjustRightInd w:val="0"/>
      <w:snapToGrid w:val="0"/>
      <w:spacing w:beforeLines="30" w:afterLines="30" w:line="440" w:lineRule="exact"/>
      <w:ind w:firstLine="0" w:firstLineChars="0"/>
      <w:jc w:val="center"/>
    </w:pPr>
    <w:rPr>
      <w:bCs w:val="0"/>
      <w:kern w:val="10"/>
      <w:sz w:val="21"/>
    </w:rPr>
  </w:style>
  <w:style w:type="paragraph" w:customStyle="1" w:styleId="129">
    <w:name w:val="7表内字"/>
    <w:basedOn w:val="1"/>
    <w:qFormat/>
    <w:uiPriority w:val="0"/>
    <w:pPr>
      <w:spacing w:line="240" w:lineRule="auto"/>
      <w:ind w:firstLine="0" w:firstLineChars="0"/>
      <w:jc w:val="center"/>
    </w:pPr>
    <w:rPr>
      <w:sz w:val="21"/>
      <w:szCs w:val="21"/>
    </w:rPr>
  </w:style>
  <w:style w:type="paragraph" w:customStyle="1" w:styleId="130">
    <w:name w:val="8正文"/>
    <w:basedOn w:val="1"/>
    <w:qFormat/>
    <w:uiPriority w:val="99"/>
    <w:pPr>
      <w:ind w:firstLine="480"/>
    </w:pPr>
    <w:rPr>
      <w:color w:val="00000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9" Type="http://schemas.openxmlformats.org/officeDocument/2006/relationships/fontTable" Target="fontTable.xml"/><Relationship Id="rId78" Type="http://schemas.openxmlformats.org/officeDocument/2006/relationships/numbering" Target="numbering.xml"/><Relationship Id="rId77" Type="http://schemas.openxmlformats.org/officeDocument/2006/relationships/customXml" Target="../customXml/item1.xml"/><Relationship Id="rId76" Type="http://schemas.openxmlformats.org/officeDocument/2006/relationships/image" Target="media/image61.jpeg"/><Relationship Id="rId75" Type="http://schemas.openxmlformats.org/officeDocument/2006/relationships/image" Target="media/image60.jpeg"/><Relationship Id="rId74" Type="http://schemas.openxmlformats.org/officeDocument/2006/relationships/image" Target="media/image59.jpeg"/><Relationship Id="rId73" Type="http://schemas.openxmlformats.org/officeDocument/2006/relationships/image" Target="media/image58.jpeg"/><Relationship Id="rId72" Type="http://schemas.openxmlformats.org/officeDocument/2006/relationships/image" Target="media/image57.jpeg"/><Relationship Id="rId71" Type="http://schemas.openxmlformats.org/officeDocument/2006/relationships/image" Target="media/image56.jpeg"/><Relationship Id="rId70" Type="http://schemas.openxmlformats.org/officeDocument/2006/relationships/image" Target="media/image55.jpeg"/><Relationship Id="rId7" Type="http://schemas.openxmlformats.org/officeDocument/2006/relationships/header" Target="header3.xml"/><Relationship Id="rId69" Type="http://schemas.openxmlformats.org/officeDocument/2006/relationships/image" Target="media/image54.png"/><Relationship Id="rId68" Type="http://schemas.openxmlformats.org/officeDocument/2006/relationships/image" Target="media/image53.jpeg"/><Relationship Id="rId67" Type="http://schemas.openxmlformats.org/officeDocument/2006/relationships/image" Target="media/image52.jpeg"/><Relationship Id="rId66" Type="http://schemas.openxmlformats.org/officeDocument/2006/relationships/image" Target="media/image51.jpeg"/><Relationship Id="rId65" Type="http://schemas.openxmlformats.org/officeDocument/2006/relationships/image" Target="media/image50.png"/><Relationship Id="rId64" Type="http://schemas.openxmlformats.org/officeDocument/2006/relationships/image" Target="media/image49.png"/><Relationship Id="rId63" Type="http://schemas.openxmlformats.org/officeDocument/2006/relationships/image" Target="media/image48.png"/><Relationship Id="rId62" Type="http://schemas.openxmlformats.org/officeDocument/2006/relationships/image" Target="media/image47.png"/><Relationship Id="rId61" Type="http://schemas.openxmlformats.org/officeDocument/2006/relationships/image" Target="media/image46.png"/><Relationship Id="rId60" Type="http://schemas.openxmlformats.org/officeDocument/2006/relationships/image" Target="media/image45.png"/><Relationship Id="rId6" Type="http://schemas.openxmlformats.org/officeDocument/2006/relationships/header" Target="header2.xml"/><Relationship Id="rId59" Type="http://schemas.openxmlformats.org/officeDocument/2006/relationships/image" Target="media/image44.png"/><Relationship Id="rId58" Type="http://schemas.openxmlformats.org/officeDocument/2006/relationships/image" Target="media/image43.png"/><Relationship Id="rId57" Type="http://schemas.openxmlformats.org/officeDocument/2006/relationships/image" Target="media/image42.png"/><Relationship Id="rId56" Type="http://schemas.openxmlformats.org/officeDocument/2006/relationships/image" Target="media/image41.png"/><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pn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header" Target="header1.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endnotes" Target="endnotes.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wmf"/><Relationship Id="rId24" Type="http://schemas.openxmlformats.org/officeDocument/2006/relationships/oleObject" Target="embeddings/oleObject2.bin"/><Relationship Id="rId23" Type="http://schemas.openxmlformats.org/officeDocument/2006/relationships/image" Target="media/image9.wmf"/><Relationship Id="rId22" Type="http://schemas.openxmlformats.org/officeDocument/2006/relationships/oleObject" Target="embeddings/oleObject1.bin"/><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66</Pages>
  <Words>8861</Words>
  <Characters>10524</Characters>
  <Lines>166</Lines>
  <Paragraphs>46</Paragraphs>
  <TotalTime>7</TotalTime>
  <ScaleCrop>false</ScaleCrop>
  <LinksUpToDate>false</LinksUpToDate>
  <CharactersWithSpaces>10829</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2025-11-05T01:48:00Z</dcterms:created>
  <dc:creator>X</dc:creator>
  <cp:lastModifiedBy>杭州渝港机械施工有限公司</cp:lastModifiedBy>
  <cp:lastPrinted>2026-01-28T02:21:00Z</cp:lastPrinted>
  <dcterms:modified xsi:type="dcterms:W3CDTF">2026-03-30T07:51:22Z</dcterms:modified>
  <dc:title>栈桥的施工方案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E123741F185B486D83C4DBD0B6FBB134_13</vt:lpwstr>
  </property>
  <property fmtid="{D5CDD505-2E9C-101B-9397-08002B2CF9AE}" pid="4" name="KSOTemplateDocerSaveRecord">
    <vt:lpwstr>eyJoZGlkIjoiYjNhNmFhNjMwYzJiZmY0YzA5ZjEwOTY2YWYzYjdmYTAiLCJ1c2VySWQiOiIyMDEyMTQ5OSJ9</vt:lpwstr>
  </property>
</Properties>
</file>